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center"/>
        <w:rPr>
          <w:rFonts w:eastAsia="方正小标宋简体"/>
          <w:color w:val="000000"/>
          <w:kern w:val="0"/>
          <w:sz w:val="44"/>
          <w:szCs w:val="44"/>
          <w:lang w:val="en-US"/>
        </w:rPr>
      </w:pPr>
      <w:r>
        <w:rPr>
          <w:rFonts w:hint="eastAsia" w:hAnsi="方正小标宋简体" w:eastAsia="方正小标宋简体" w:cs="方正小标宋简体"/>
          <w:color w:val="000000"/>
          <w:kern w:val="0"/>
          <w:sz w:val="44"/>
          <w:szCs w:val="44"/>
          <w:lang w:val="en-US" w:eastAsia="zh-CN" w:bidi="ar"/>
        </w:rPr>
        <w:t>柳州市第十六中学服务综合楼项目</w:t>
      </w:r>
      <w:r>
        <w:rPr>
          <w:rFonts w:hint="eastAsia" w:ascii="Times New Roman" w:hAnsi="方正小标宋简体" w:eastAsia="方正小标宋简体" w:cs="方正小标宋简体"/>
          <w:color w:val="000000"/>
          <w:kern w:val="0"/>
          <w:sz w:val="44"/>
          <w:szCs w:val="44"/>
          <w:lang w:val="en-US" w:eastAsia="zh-CN" w:bidi="ar"/>
        </w:rPr>
        <w:t>房屋征收</w:t>
      </w:r>
    </w:p>
    <w:p>
      <w:pPr>
        <w:keepNext w:val="0"/>
        <w:keepLines w:val="0"/>
        <w:widowControl w:val="0"/>
        <w:suppressLineNumbers w:val="0"/>
        <w:spacing w:before="0" w:beforeAutospacing="0" w:after="0" w:afterAutospacing="0" w:line="560" w:lineRule="exact"/>
        <w:ind w:left="0" w:right="0"/>
        <w:jc w:val="center"/>
        <w:rPr>
          <w:rFonts w:eastAsia="方正小标宋简体"/>
          <w:color w:val="000000"/>
          <w:kern w:val="0"/>
          <w:sz w:val="44"/>
          <w:szCs w:val="44"/>
          <w:lang w:val="en-US"/>
        </w:rPr>
      </w:pPr>
      <w:r>
        <w:rPr>
          <w:rFonts w:hint="eastAsia" w:ascii="Times New Roman" w:hAnsi="方正小标宋简体" w:eastAsia="方正小标宋简体" w:cs="方正小标宋简体"/>
          <w:color w:val="000000"/>
          <w:kern w:val="0"/>
          <w:sz w:val="44"/>
          <w:szCs w:val="44"/>
          <w:lang w:val="en-US" w:eastAsia="zh-CN" w:bidi="ar"/>
        </w:rPr>
        <w:t>补偿方案</w:t>
      </w:r>
    </w:p>
    <w:p>
      <w:pPr>
        <w:keepNext w:val="0"/>
        <w:keepLines w:val="0"/>
        <w:widowControl w:val="0"/>
        <w:suppressLineNumbers w:val="0"/>
        <w:spacing w:before="0" w:beforeAutospacing="0" w:after="0" w:afterAutospacing="0" w:line="560" w:lineRule="exact"/>
        <w:ind w:left="0" w:right="0" w:firstLine="640" w:firstLineChars="200"/>
        <w:jc w:val="both"/>
        <w:rPr>
          <w:rFonts w:eastAsia="仿宋_GB2312"/>
          <w:sz w:val="32"/>
          <w:szCs w:val="32"/>
          <w:lang w:val="en-US"/>
        </w:rPr>
      </w:pP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因实施柳州市第十六中学服务综合楼项目建设，需征收该项目规划用地范围内国有土地上房屋及附属物，根据《国有土地上房屋征收与补偿条例》（国务院令第</w:t>
      </w:r>
      <w:r>
        <w:rPr>
          <w:rFonts w:eastAsia="仿宋_GB2312"/>
          <w:color w:val="000000"/>
          <w:sz w:val="32"/>
          <w:szCs w:val="32"/>
        </w:rPr>
        <w:t>590</w:t>
      </w:r>
      <w:r>
        <w:rPr>
          <w:rFonts w:hint="eastAsia" w:eastAsia="仿宋_GB2312"/>
          <w:color w:val="000000"/>
          <w:sz w:val="32"/>
          <w:szCs w:val="32"/>
        </w:rPr>
        <w:t>号</w:t>
      </w:r>
      <w:r>
        <w:rPr>
          <w:rFonts w:hint="eastAsia" w:ascii="仿宋_GB2312" w:hAnsi="仿宋_GB2312" w:eastAsia="仿宋_GB2312" w:cs="仿宋_GB2312"/>
          <w:color w:val="000000"/>
          <w:sz w:val="32"/>
          <w:szCs w:val="32"/>
        </w:rPr>
        <w:t>）和有关法规政策规定，制定本补偿方案。</w:t>
      </w:r>
    </w:p>
    <w:p>
      <w:pPr>
        <w:spacing w:line="540" w:lineRule="exact"/>
        <w:ind w:firstLine="640" w:firstLineChars="200"/>
        <w:jc w:val="center"/>
        <w:rPr>
          <w:rFonts w:hint="eastAsia" w:ascii="仿宋" w:hAnsi="仿宋" w:eastAsia="仿宋"/>
          <w:b/>
          <w:bCs/>
          <w:sz w:val="32"/>
          <w:szCs w:val="32"/>
        </w:rPr>
      </w:pPr>
      <w:r>
        <w:rPr>
          <w:rFonts w:hint="eastAsia" w:ascii="黑体" w:hAnsi="黑体" w:eastAsia="黑体" w:cs="黑体"/>
          <w:sz w:val="32"/>
          <w:szCs w:val="32"/>
        </w:rPr>
        <w:t>第一部分 基本情况</w:t>
      </w:r>
    </w:p>
    <w:p>
      <w:pPr>
        <w:spacing w:line="540" w:lineRule="exact"/>
        <w:ind w:firstLine="643" w:firstLineChars="200"/>
        <w:rPr>
          <w:rFonts w:hint="eastAsia" w:ascii="仿宋_GB2312" w:hAnsi="Calibri" w:eastAsia="仿宋_GB2312"/>
          <w:sz w:val="32"/>
          <w:szCs w:val="32"/>
        </w:rPr>
      </w:pPr>
      <w:r>
        <w:rPr>
          <w:rFonts w:hint="eastAsia" w:ascii="仿宋" w:hAnsi="仿宋" w:eastAsia="仿宋" w:cs="仿宋"/>
          <w:b/>
          <w:bCs/>
          <w:sz w:val="32"/>
          <w:szCs w:val="32"/>
        </w:rPr>
        <w:t>一、项目名称：</w:t>
      </w:r>
      <w:r>
        <w:rPr>
          <w:rFonts w:hint="eastAsia" w:ascii="仿宋_GB2312" w:hAnsi="Calibri" w:eastAsia="仿宋_GB2312"/>
          <w:sz w:val="32"/>
          <w:szCs w:val="32"/>
        </w:rPr>
        <w:t>柳州市第十六中学服务综合楼项目</w:t>
      </w:r>
    </w:p>
    <w:p>
      <w:pPr>
        <w:spacing w:line="540" w:lineRule="exact"/>
        <w:ind w:firstLine="643" w:firstLineChars="200"/>
        <w:rPr>
          <w:rFonts w:hint="eastAsia" w:ascii="仿宋_GB2312" w:hAnsi="仿宋_GB2312" w:eastAsia="仿宋_GB2312" w:cs="仿宋_GB2312"/>
          <w:sz w:val="32"/>
          <w:szCs w:val="32"/>
        </w:rPr>
      </w:pPr>
      <w:r>
        <w:rPr>
          <w:rFonts w:hint="eastAsia" w:ascii="仿宋" w:hAnsi="仿宋" w:eastAsia="仿宋" w:cs="仿宋"/>
          <w:b/>
          <w:bCs/>
          <w:sz w:val="32"/>
          <w:szCs w:val="32"/>
        </w:rPr>
        <w:t>二、征收范围：</w:t>
      </w:r>
      <w:r>
        <w:rPr>
          <w:rFonts w:hint="eastAsia" w:ascii="仿宋_GB2312" w:hAnsi="仿宋_GB2312" w:eastAsia="仿宋_GB2312" w:cs="仿宋_GB2312"/>
          <w:color w:val="000000"/>
          <w:sz w:val="32"/>
          <w:szCs w:val="32"/>
          <w:lang w:eastAsia="zh-CN"/>
        </w:rPr>
        <w:t>《</w:t>
      </w:r>
      <w:r>
        <w:rPr>
          <w:rFonts w:hint="eastAsia" w:ascii="仿宋_GB2312" w:hAnsi="Calibri" w:eastAsia="仿宋_GB2312"/>
          <w:sz w:val="32"/>
          <w:szCs w:val="32"/>
        </w:rPr>
        <w:t>柳州市自然资源和规划局</w:t>
      </w:r>
      <w:r>
        <w:rPr>
          <w:rFonts w:hint="eastAsia" w:ascii="仿宋_GB2312" w:eastAsia="仿宋_GB2312"/>
          <w:sz w:val="32"/>
          <w:szCs w:val="32"/>
        </w:rPr>
        <w:t>关于</w:t>
      </w:r>
      <w:r>
        <w:rPr>
          <w:rFonts w:hint="eastAsia" w:ascii="仿宋_GB2312" w:hAnsi="仿宋_GB2312" w:eastAsia="仿宋_GB2312" w:cs="仿宋_GB2312"/>
          <w:color w:val="000000"/>
          <w:sz w:val="32"/>
          <w:szCs w:val="32"/>
        </w:rPr>
        <w:t>市第十六中学服务综合楼</w:t>
      </w:r>
      <w:r>
        <w:rPr>
          <w:rFonts w:hint="eastAsia" w:ascii="仿宋_GB2312" w:eastAsia="仿宋_GB2312"/>
          <w:color w:val="000000"/>
          <w:sz w:val="32"/>
          <w:szCs w:val="32"/>
        </w:rPr>
        <w:t>项目</w:t>
      </w:r>
      <w:r>
        <w:rPr>
          <w:rFonts w:hint="eastAsia" w:ascii="仿宋_GB2312" w:eastAsia="仿宋_GB2312"/>
          <w:sz w:val="32"/>
          <w:szCs w:val="32"/>
        </w:rPr>
        <w:t>规划意见的复函</w:t>
      </w:r>
      <w:r>
        <w:rPr>
          <w:rFonts w:hint="eastAsia" w:ascii="仿宋_GB2312" w:hAnsi="仿宋_GB2312" w:eastAsia="仿宋_GB2312" w:cs="仿宋_GB2312"/>
          <w:color w:val="000000"/>
          <w:sz w:val="32"/>
          <w:szCs w:val="32"/>
          <w:lang w:eastAsia="zh-CN"/>
        </w:rPr>
        <w:t>》</w:t>
      </w:r>
      <w:r>
        <w:rPr>
          <w:rFonts w:hint="eastAsia" w:ascii="仿宋_GB2312" w:eastAsia="仿宋_GB2312"/>
          <w:sz w:val="32"/>
          <w:szCs w:val="32"/>
        </w:rPr>
        <w:t>（</w:t>
      </w:r>
      <w:r>
        <w:rPr>
          <w:rFonts w:hint="eastAsia" w:ascii="仿宋_GB2312" w:eastAsia="仿宋_GB2312"/>
          <w:color w:val="000000"/>
          <w:sz w:val="32"/>
          <w:szCs w:val="32"/>
        </w:rPr>
        <w:t>柳资源规划用地</w:t>
      </w:r>
      <w:r>
        <w:rPr>
          <w:rFonts w:hint="eastAsia" w:ascii="仿宋_GB2312" w:eastAsia="仿宋_GB2312"/>
          <w:color w:val="000000"/>
          <w:sz w:val="32"/>
          <w:szCs w:val="32"/>
          <w:lang w:eastAsia="zh-CN"/>
        </w:rPr>
        <w:t>〔</w:t>
      </w:r>
      <w:r>
        <w:rPr>
          <w:rFonts w:eastAsia="仿宋"/>
          <w:color w:val="000000"/>
          <w:sz w:val="32"/>
          <w:szCs w:val="32"/>
        </w:rPr>
        <w:t>2</w:t>
      </w:r>
      <w:r>
        <w:rPr>
          <w:rFonts w:eastAsia="仿宋_GB2312"/>
          <w:color w:val="000000"/>
          <w:sz w:val="32"/>
          <w:szCs w:val="32"/>
        </w:rPr>
        <w:t>0</w:t>
      </w:r>
      <w:r>
        <w:rPr>
          <w:rFonts w:hint="eastAsia" w:eastAsia="仿宋_GB2312"/>
          <w:color w:val="000000"/>
          <w:sz w:val="32"/>
          <w:szCs w:val="32"/>
        </w:rPr>
        <w:t>21</w:t>
      </w:r>
      <w:r>
        <w:rPr>
          <w:rFonts w:hint="eastAsia" w:eastAsia="仿宋_GB2312"/>
          <w:color w:val="000000"/>
          <w:sz w:val="32"/>
          <w:szCs w:val="32"/>
          <w:lang w:eastAsia="zh-CN"/>
        </w:rPr>
        <w:t>〕</w:t>
      </w:r>
      <w:r>
        <w:rPr>
          <w:rFonts w:hint="eastAsia" w:eastAsia="仿宋"/>
          <w:color w:val="000000"/>
          <w:sz w:val="32"/>
          <w:szCs w:val="32"/>
        </w:rPr>
        <w:t>445</w:t>
      </w:r>
      <w:r>
        <w:rPr>
          <w:rFonts w:hint="eastAsia" w:ascii="仿宋_GB2312" w:eastAsia="仿宋_GB2312"/>
          <w:color w:val="000000"/>
          <w:sz w:val="32"/>
          <w:szCs w:val="32"/>
        </w:rPr>
        <w:t>号</w:t>
      </w:r>
      <w:r>
        <w:rPr>
          <w:rFonts w:hint="eastAsia" w:ascii="仿宋_GB2312" w:eastAsia="仿宋_GB2312"/>
          <w:sz w:val="32"/>
          <w:szCs w:val="32"/>
        </w:rPr>
        <w:t>）</w:t>
      </w:r>
      <w:r>
        <w:rPr>
          <w:rFonts w:hint="eastAsia" w:ascii="仿宋_GB2312" w:hAnsi="仿宋_GB2312" w:eastAsia="仿宋_GB2312" w:cs="仿宋_GB2312"/>
          <w:kern w:val="0"/>
          <w:sz w:val="32"/>
          <w:szCs w:val="32"/>
        </w:rPr>
        <w:t>规划红线定点范围内国有土地上的房屋及附属物</w:t>
      </w:r>
    </w:p>
    <w:p>
      <w:pPr>
        <w:spacing w:line="54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三、征收当事人</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（一）征收主体：柳州市城中区人民政府</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（二）征收部门：柳州市城中区住房和城乡建设局</w:t>
      </w:r>
    </w:p>
    <w:p>
      <w:pPr>
        <w:spacing w:line="540" w:lineRule="exact"/>
        <w:ind w:firstLine="640" w:firstLineChars="200"/>
        <w:rPr>
          <w:rFonts w:ascii="仿宋_GB2312" w:hAnsi="仿宋_GB2312" w:eastAsia="仿宋_GB2312" w:cs="仿宋_GB2312"/>
          <w:sz w:val="32"/>
          <w:szCs w:val="32"/>
        </w:rPr>
      </w:pPr>
      <w:r>
        <w:rPr>
          <w:rFonts w:hint="eastAsia" w:eastAsia="仿宋_GB2312"/>
          <w:sz w:val="32"/>
          <w:szCs w:val="32"/>
        </w:rPr>
        <w:t>（三）</w:t>
      </w:r>
      <w:r>
        <w:rPr>
          <w:rFonts w:eastAsia="仿宋_GB2312"/>
          <w:sz w:val="32"/>
          <w:szCs w:val="32"/>
        </w:rPr>
        <w:t>征收实施单位：</w:t>
      </w:r>
      <w:r>
        <w:rPr>
          <w:rFonts w:hint="eastAsia" w:ascii="仿宋_GB2312" w:hAnsi="仿宋_GB2312" w:eastAsia="仿宋_GB2312" w:cs="仿宋_GB2312"/>
          <w:sz w:val="32"/>
          <w:szCs w:val="32"/>
        </w:rPr>
        <w:t>柳州市城中区征地拆迁和房屋征收补偿服务中心</w:t>
      </w:r>
    </w:p>
    <w:p>
      <w:pPr>
        <w:spacing w:line="54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被征收人：被征收房屋所有权人</w:t>
      </w:r>
    </w:p>
    <w:p>
      <w:pPr>
        <w:spacing w:line="540" w:lineRule="exact"/>
        <w:ind w:firstLine="640" w:firstLineChars="200"/>
        <w:jc w:val="center"/>
        <w:rPr>
          <w:rFonts w:hint="eastAsia" w:eastAsia="黑体"/>
          <w:bCs/>
          <w:sz w:val="32"/>
          <w:szCs w:val="32"/>
        </w:rPr>
      </w:pPr>
      <w:r>
        <w:rPr>
          <w:rFonts w:hint="eastAsia" w:eastAsia="黑体"/>
          <w:bCs/>
          <w:sz w:val="32"/>
          <w:szCs w:val="32"/>
        </w:rPr>
        <w:t>第二部分 补偿</w:t>
      </w:r>
    </w:p>
    <w:p>
      <w:pPr>
        <w:spacing w:line="540" w:lineRule="exact"/>
        <w:ind w:firstLine="627" w:firstLineChars="196"/>
        <w:rPr>
          <w:rFonts w:hint="eastAsia" w:eastAsia="仿宋_GB2312"/>
          <w:sz w:val="32"/>
          <w:szCs w:val="32"/>
        </w:rPr>
      </w:pPr>
      <w:r>
        <w:rPr>
          <w:rFonts w:hint="eastAsia" w:eastAsia="仿宋_GB2312"/>
          <w:sz w:val="32"/>
          <w:szCs w:val="32"/>
        </w:rPr>
        <w:t>本项</w:t>
      </w:r>
      <w:r>
        <w:rPr>
          <w:rFonts w:hint="eastAsia" w:ascii="仿宋_GB2312" w:hAnsi="仿宋_GB2312" w:eastAsia="仿宋_GB2312" w:cs="仿宋_GB2312"/>
          <w:sz w:val="32"/>
          <w:szCs w:val="32"/>
        </w:rPr>
        <w:t>目被征收人可选择实行货币补偿，也可以选择房屋产权调换。以</w:t>
      </w:r>
      <w:r>
        <w:rPr>
          <w:rFonts w:hint="eastAsia" w:eastAsia="仿宋_GB2312"/>
          <w:sz w:val="32"/>
          <w:szCs w:val="32"/>
        </w:rPr>
        <w:t>评估价格确定被征收房屋、就近产权调换房屋价值。</w:t>
      </w:r>
    </w:p>
    <w:p>
      <w:pPr>
        <w:spacing w:line="540" w:lineRule="exact"/>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一、货币补偿</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（一）被征收人选择使用被征收房屋价值货币安置的，</w:t>
      </w:r>
      <w:r>
        <w:rPr>
          <w:rFonts w:eastAsia="仿宋_GB2312"/>
          <w:color w:val="000000"/>
          <w:sz w:val="32"/>
          <w:szCs w:val="32"/>
        </w:rPr>
        <w:t>按照《国有土地上房屋征收评估办法</w:t>
      </w:r>
      <w:r>
        <w:rPr>
          <w:rFonts w:hint="eastAsia" w:ascii="仿宋_GB2312" w:hAnsi="仿宋_GB2312" w:eastAsia="仿宋_GB2312" w:cs="仿宋_GB2312"/>
          <w:color w:val="000000"/>
          <w:sz w:val="32"/>
          <w:szCs w:val="32"/>
        </w:rPr>
        <w:t>》</w:t>
      </w:r>
      <w:r>
        <w:rPr>
          <w:rFonts w:eastAsia="仿宋_GB2312"/>
          <w:color w:val="000000"/>
          <w:sz w:val="32"/>
          <w:szCs w:val="32"/>
        </w:rPr>
        <w:t>等法规规定，选定具有房地产评估资质的机构对被征收房屋进行评估，评估结果作为被征收房屋补偿的依据。</w:t>
      </w:r>
    </w:p>
    <w:p>
      <w:pPr>
        <w:spacing w:line="540" w:lineRule="exact"/>
        <w:ind w:firstLine="640" w:firstLineChars="200"/>
        <w:rPr>
          <w:rFonts w:hint="eastAsia" w:eastAsia="仿宋_GB2312"/>
          <w:sz w:val="32"/>
          <w:szCs w:val="32"/>
        </w:rPr>
      </w:pPr>
      <w:r>
        <w:rPr>
          <w:rFonts w:hint="eastAsia" w:eastAsia="仿宋_GB2312"/>
          <w:sz w:val="32"/>
          <w:szCs w:val="32"/>
        </w:rPr>
        <w:t>（二）被征收人选择货币化安置的，按就近产权调换房屋市场评估价格作为补偿标准，以被征收房屋建筑面积的1:1.2进行计算，即货币化安置补偿=就近产权调换房屋市场评估价格</w:t>
      </w:r>
      <w:r>
        <w:rPr>
          <w:rFonts w:ascii="Arial" w:hAnsi="Arial" w:eastAsia="仿宋_GB2312" w:cs="Arial"/>
          <w:sz w:val="32"/>
          <w:szCs w:val="32"/>
        </w:rPr>
        <w:t>×</w:t>
      </w:r>
      <w:r>
        <w:rPr>
          <w:rFonts w:hint="eastAsia" w:eastAsia="仿宋_GB2312"/>
          <w:sz w:val="32"/>
          <w:szCs w:val="32"/>
        </w:rPr>
        <w:t>被征收房屋面积</w:t>
      </w:r>
      <w:r>
        <w:rPr>
          <w:rFonts w:ascii="Arial" w:hAnsi="Arial" w:eastAsia="仿宋_GB2312" w:cs="Arial"/>
          <w:sz w:val="32"/>
          <w:szCs w:val="32"/>
        </w:rPr>
        <w:t>×</w:t>
      </w:r>
      <w:r>
        <w:rPr>
          <w:rFonts w:hint="eastAsia" w:eastAsia="仿宋_GB2312"/>
          <w:sz w:val="32"/>
          <w:szCs w:val="32"/>
        </w:rPr>
        <w:t>1.2。选择货币化安置的，不再享受</w:t>
      </w:r>
      <w:r>
        <w:rPr>
          <w:rFonts w:eastAsia="仿宋_GB2312"/>
          <w:sz w:val="32"/>
          <w:szCs w:val="32"/>
        </w:rPr>
        <w:t>被征收房屋评估价格20%</w:t>
      </w:r>
      <w:r>
        <w:rPr>
          <w:rFonts w:hint="eastAsia" w:eastAsia="仿宋_GB2312"/>
          <w:sz w:val="32"/>
          <w:szCs w:val="32"/>
        </w:rPr>
        <w:t>的货币补偿奖励和购房补贴</w:t>
      </w:r>
      <w:r>
        <w:rPr>
          <w:rFonts w:eastAsia="仿宋_GB2312"/>
          <w:sz w:val="32"/>
          <w:szCs w:val="32"/>
        </w:rPr>
        <w:t>。</w:t>
      </w:r>
    </w:p>
    <w:p>
      <w:pPr>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二、房屋产权调换</w:t>
      </w:r>
    </w:p>
    <w:p>
      <w:pPr>
        <w:spacing w:line="540" w:lineRule="exact"/>
        <w:ind w:firstLine="640" w:firstLineChars="200"/>
        <w:rPr>
          <w:rFonts w:hint="eastAsia" w:eastAsia="仿宋_GB2312"/>
          <w:sz w:val="32"/>
          <w:szCs w:val="32"/>
        </w:rPr>
      </w:pPr>
      <w:r>
        <w:rPr>
          <w:rFonts w:eastAsia="仿宋_GB2312"/>
          <w:sz w:val="32"/>
          <w:szCs w:val="32"/>
        </w:rPr>
        <w:t>安置房的选择以公开、公平、公正为原则，</w:t>
      </w:r>
      <w:r>
        <w:rPr>
          <w:rFonts w:hint="eastAsia" w:eastAsia="仿宋_GB2312"/>
          <w:sz w:val="32"/>
          <w:szCs w:val="32"/>
        </w:rPr>
        <w:t>按</w:t>
      </w:r>
      <w:r>
        <w:rPr>
          <w:rFonts w:eastAsia="仿宋_GB2312"/>
          <w:sz w:val="32"/>
          <w:szCs w:val="32"/>
        </w:rPr>
        <w:t>先签协议先选房</w:t>
      </w:r>
      <w:r>
        <w:rPr>
          <w:rFonts w:hint="eastAsia" w:eastAsia="仿宋_GB2312"/>
          <w:sz w:val="32"/>
          <w:szCs w:val="32"/>
        </w:rPr>
        <w:t>的程序进行</w:t>
      </w:r>
      <w:r>
        <w:rPr>
          <w:rFonts w:eastAsia="仿宋_GB2312"/>
          <w:sz w:val="32"/>
          <w:szCs w:val="32"/>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（一）房屋产权调换房源</w:t>
      </w:r>
    </w:p>
    <w:p>
      <w:pPr>
        <w:spacing w:line="540" w:lineRule="exact"/>
        <w:ind w:firstLine="800" w:firstLineChars="250"/>
        <w:rPr>
          <w:rFonts w:hint="eastAsia" w:eastAsia="仿宋_GB2312"/>
          <w:kern w:val="0"/>
          <w:sz w:val="32"/>
          <w:szCs w:val="32"/>
        </w:rPr>
      </w:pPr>
      <w:r>
        <w:rPr>
          <w:rFonts w:eastAsia="仿宋_GB2312"/>
          <w:color w:val="000000"/>
          <w:kern w:val="0"/>
          <w:sz w:val="32"/>
          <w:szCs w:val="32"/>
        </w:rPr>
        <w:t>被征收人选择产权调换的，提供产权调换安置房源</w:t>
      </w:r>
      <w:r>
        <w:rPr>
          <w:rFonts w:hint="eastAsia" w:eastAsia="仿宋_GB2312"/>
          <w:color w:val="000000"/>
          <w:kern w:val="0"/>
          <w:sz w:val="32"/>
          <w:szCs w:val="32"/>
        </w:rPr>
        <w:t>为位于柳州市</w:t>
      </w:r>
      <w:r>
        <w:rPr>
          <w:rFonts w:hint="eastAsia" w:eastAsia="仿宋_GB2312"/>
          <w:kern w:val="0"/>
          <w:sz w:val="32"/>
          <w:szCs w:val="32"/>
        </w:rPr>
        <w:t>东环大道232号之一</w:t>
      </w:r>
      <w:r>
        <w:rPr>
          <w:rFonts w:hint="eastAsia" w:eastAsia="仿宋_GB2312"/>
          <w:color w:val="000000"/>
          <w:kern w:val="0"/>
          <w:sz w:val="32"/>
          <w:szCs w:val="32"/>
        </w:rPr>
        <w:t>聚贤佳苑小区</w:t>
      </w:r>
      <w:r>
        <w:rPr>
          <w:rFonts w:hint="eastAsia" w:eastAsia="仿宋_GB2312"/>
          <w:kern w:val="0"/>
          <w:sz w:val="32"/>
          <w:szCs w:val="32"/>
        </w:rPr>
        <w:t>，</w:t>
      </w:r>
      <w:r>
        <w:rPr>
          <w:rFonts w:eastAsia="仿宋_GB2312"/>
          <w:kern w:val="0"/>
          <w:sz w:val="32"/>
          <w:szCs w:val="32"/>
        </w:rPr>
        <w:t>具体房型、建筑面积等在在</w:t>
      </w:r>
      <w:r>
        <w:rPr>
          <w:rFonts w:hint="eastAsia" w:eastAsia="仿宋_GB2312"/>
          <w:kern w:val="0"/>
          <w:sz w:val="32"/>
          <w:szCs w:val="32"/>
        </w:rPr>
        <w:t>安置小区售楼部咨询</w:t>
      </w:r>
      <w:r>
        <w:rPr>
          <w:rFonts w:eastAsia="仿宋_GB2312"/>
          <w:kern w:val="0"/>
          <w:sz w:val="32"/>
          <w:szCs w:val="32"/>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（二）住宅类房屋产权调换方式</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被征收人选择房屋征收部门提供的住宅房屋进行产权</w:t>
      </w:r>
      <w:r>
        <w:rPr>
          <w:rFonts w:hint="eastAsia" w:ascii="仿宋_GB2312" w:hAnsi="仿宋_GB2312" w:eastAsia="仿宋_GB2312" w:cs="仿宋_GB2312"/>
          <w:sz w:val="32"/>
          <w:szCs w:val="32"/>
        </w:rPr>
        <w:t>调换的，可以选择以下方式进行产权调换：</w:t>
      </w:r>
    </w:p>
    <w:p>
      <w:pPr>
        <w:spacing w:line="540" w:lineRule="exact"/>
        <w:ind w:firstLine="640" w:firstLineChars="200"/>
        <w:rPr>
          <w:rFonts w:hint="eastAsia" w:ascii="仿宋_GB2312" w:hAnsi="仿宋_GB2312" w:eastAsia="仿宋_GB2312" w:cs="仿宋_GB2312"/>
          <w:sz w:val="32"/>
          <w:szCs w:val="32"/>
        </w:rPr>
      </w:pPr>
      <w:r>
        <w:rPr>
          <w:rFonts w:eastAsia="仿宋_GB2312"/>
          <w:sz w:val="32"/>
          <w:szCs w:val="32"/>
        </w:rPr>
        <w:t>1.</w:t>
      </w:r>
      <w:r>
        <w:rPr>
          <w:rFonts w:hint="eastAsia" w:ascii="仿宋_GB2312" w:hAnsi="仿宋_GB2312" w:eastAsia="仿宋_GB2312" w:cs="仿宋_GB2312"/>
          <w:sz w:val="32"/>
          <w:szCs w:val="32"/>
        </w:rPr>
        <w:t>结清同一估价时点的被征收房屋价值与用于产权调换房屋价值的差价。</w:t>
      </w:r>
    </w:p>
    <w:p>
      <w:pPr>
        <w:spacing w:line="540" w:lineRule="exact"/>
        <w:ind w:firstLine="640" w:firstLineChars="200"/>
        <w:rPr>
          <w:rFonts w:hint="eastAsia" w:ascii="仿宋_GB2312" w:hAnsi="仿宋_GB2312" w:eastAsia="仿宋_GB2312" w:cs="仿宋_GB2312"/>
          <w:sz w:val="32"/>
          <w:szCs w:val="32"/>
        </w:rPr>
      </w:pPr>
      <w:r>
        <w:rPr>
          <w:rFonts w:hint="eastAsia" w:eastAsia="仿宋_GB2312"/>
          <w:sz w:val="32"/>
          <w:szCs w:val="32"/>
        </w:rPr>
        <w:t>2.</w:t>
      </w:r>
      <w:r>
        <w:rPr>
          <w:rFonts w:hint="eastAsia" w:ascii="仿宋_GB2312" w:hAnsi="仿宋_GB2312" w:eastAsia="仿宋_GB2312" w:cs="仿宋_GB2312"/>
          <w:sz w:val="32"/>
          <w:szCs w:val="32"/>
        </w:rPr>
        <w:t>按被征收房屋的建筑面积</w:t>
      </w:r>
      <w:r>
        <w:rPr>
          <w:rFonts w:hint="eastAsia" w:eastAsia="仿宋_GB2312"/>
          <w:sz w:val="32"/>
          <w:szCs w:val="32"/>
        </w:rPr>
        <w:t>1:1.2</w:t>
      </w:r>
      <w:r>
        <w:rPr>
          <w:rFonts w:hint="eastAsia" w:ascii="仿宋_GB2312" w:hAnsi="仿宋_GB2312" w:eastAsia="仿宋_GB2312" w:cs="仿宋_GB2312"/>
          <w:sz w:val="32"/>
          <w:szCs w:val="32"/>
        </w:rPr>
        <w:t>产权调换安置房的建筑面积，不结算差价。</w:t>
      </w:r>
    </w:p>
    <w:p>
      <w:pPr>
        <w:spacing w:line="540" w:lineRule="exact"/>
        <w:ind w:firstLine="640" w:firstLineChars="200"/>
        <w:rPr>
          <w:rFonts w:hint="eastAsia" w:ascii="仿宋_GB2312" w:hAnsi="仿宋_GB2312" w:eastAsia="仿宋_GB2312" w:cs="仿宋_GB2312"/>
          <w:sz w:val="32"/>
          <w:szCs w:val="32"/>
        </w:rPr>
      </w:pPr>
      <w:r>
        <w:rPr>
          <w:rFonts w:hint="eastAsia" w:eastAsia="仿宋_GB2312"/>
          <w:sz w:val="32"/>
          <w:szCs w:val="32"/>
        </w:rPr>
        <w:t>3.</w:t>
      </w:r>
      <w:r>
        <w:rPr>
          <w:rFonts w:hint="eastAsia" w:ascii="仿宋_GB2312" w:hAnsi="仿宋_GB2312" w:eastAsia="仿宋_GB2312" w:cs="仿宋_GB2312"/>
          <w:sz w:val="32"/>
          <w:szCs w:val="32"/>
        </w:rPr>
        <w:t>按被征收房屋的建筑面积</w:t>
      </w:r>
      <w:r>
        <w:rPr>
          <w:rFonts w:hint="eastAsia" w:eastAsia="仿宋_GB2312"/>
          <w:sz w:val="32"/>
          <w:szCs w:val="32"/>
        </w:rPr>
        <w:t>1:1</w:t>
      </w:r>
      <w:r>
        <w:rPr>
          <w:rFonts w:hint="eastAsia" w:ascii="仿宋_GB2312" w:hAnsi="仿宋_GB2312" w:eastAsia="仿宋_GB2312" w:cs="仿宋_GB2312"/>
          <w:sz w:val="32"/>
          <w:szCs w:val="32"/>
        </w:rPr>
        <w:t>产权调换安置房屋的套内建筑面积，不结算差价。</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按以上</w:t>
      </w:r>
      <w:r>
        <w:rPr>
          <w:rFonts w:hint="eastAsia" w:eastAsia="仿宋_GB2312"/>
          <w:sz w:val="32"/>
          <w:szCs w:val="32"/>
        </w:rPr>
        <w:t>3</w:t>
      </w:r>
      <w:r>
        <w:rPr>
          <w:rFonts w:hint="eastAsia" w:ascii="仿宋_GB2312" w:hAnsi="仿宋_GB2312" w:eastAsia="仿宋_GB2312" w:cs="仿宋_GB2312"/>
          <w:sz w:val="32"/>
          <w:szCs w:val="32"/>
        </w:rPr>
        <w:t>种方式进行产权调换后，超出或不足部分，结算差价。</w:t>
      </w:r>
    </w:p>
    <w:p>
      <w:pPr>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三、房屋装修装饰补偿</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被征收房屋室内装修装饰价值补偿由经选定的房地产价格评估机构通过评估确定。</w:t>
      </w:r>
    </w:p>
    <w:p>
      <w:pPr>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四、临时安置费（过渡费）及搬迁费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（一）临时安置费（过渡费）与过渡期限</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选择货币补偿的，按项目规划红线定点确定的征收范围内被征收房屋分类评估单价的</w:t>
      </w:r>
      <w:r>
        <w:rPr>
          <w:rFonts w:hint="eastAsia" w:eastAsia="仿宋_GB2312"/>
          <w:sz w:val="32"/>
          <w:szCs w:val="32"/>
        </w:rPr>
        <w:t>3‰</w:t>
      </w:r>
      <w:r>
        <w:rPr>
          <w:rFonts w:hint="eastAsia" w:ascii="仿宋_GB2312" w:hAnsi="仿宋_GB2312" w:eastAsia="仿宋_GB2312" w:cs="仿宋_GB2312"/>
          <w:sz w:val="32"/>
          <w:szCs w:val="32"/>
        </w:rPr>
        <w:t>/㎡/月一次性给予三个月的临时安置费；选择产权调换并自行过渡的，自被征收人腾空交付被征收房屋之日起，按项目规划红线定点确定的征收范围内被征收房屋分类评估单价的</w:t>
      </w:r>
      <w:r>
        <w:rPr>
          <w:rFonts w:hint="eastAsia" w:eastAsia="仿宋_GB2312"/>
          <w:sz w:val="32"/>
          <w:szCs w:val="32"/>
        </w:rPr>
        <w:t>3‰</w:t>
      </w:r>
      <w:r>
        <w:rPr>
          <w:rFonts w:hint="eastAsia" w:ascii="仿宋_GB2312" w:hAnsi="仿宋_GB2312" w:eastAsia="仿宋_GB2312" w:cs="仿宋_GB2312"/>
          <w:sz w:val="32"/>
          <w:szCs w:val="32"/>
        </w:rPr>
        <w:t>/㎡/月支付临时安置费直至安置房交付后三个月止（住宅最低计算面积</w:t>
      </w:r>
      <w:r>
        <w:rPr>
          <w:rFonts w:hint="eastAsia" w:ascii="仿宋_GB2312" w:hAnsi="仿宋_GB2312" w:eastAsia="仿宋_GB2312" w:cs="仿宋_GB2312"/>
          <w:kern w:val="0"/>
          <w:sz w:val="32"/>
          <w:szCs w:val="32"/>
        </w:rPr>
        <w:t>为</w:t>
      </w:r>
      <w:r>
        <w:rPr>
          <w:rFonts w:hint="eastAsia" w:eastAsia="仿宋_GB2312"/>
          <w:sz w:val="32"/>
          <w:szCs w:val="32"/>
        </w:rPr>
        <w:t>60</w:t>
      </w:r>
      <w:r>
        <w:rPr>
          <w:rFonts w:hint="eastAsia" w:ascii="仿宋_GB2312" w:hAnsi="仿宋_GB2312" w:eastAsia="仿宋_GB2312" w:cs="仿宋_GB2312"/>
          <w:sz w:val="32"/>
          <w:szCs w:val="32"/>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（二）搬迁费</w:t>
      </w:r>
      <w:r>
        <w:rPr>
          <w:rFonts w:hint="eastAsia" w:ascii="仿宋_GB2312" w:hAnsi="仿宋_GB2312" w:eastAsia="仿宋_GB2312" w:cs="仿宋_GB2312"/>
          <w:sz w:val="32"/>
          <w:szCs w:val="32"/>
        </w:rPr>
        <w:tab/>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住宅房屋的搬迁费，按被征收房屋建筑面积</w:t>
      </w:r>
      <w:r>
        <w:rPr>
          <w:rFonts w:hint="eastAsia" w:eastAsia="仿宋_GB2312"/>
          <w:sz w:val="32"/>
          <w:szCs w:val="32"/>
        </w:rPr>
        <w:t>15</w:t>
      </w:r>
      <w:r>
        <w:rPr>
          <w:rFonts w:hint="eastAsia" w:ascii="仿宋_GB2312" w:hAnsi="仿宋_GB2312" w:eastAsia="仿宋_GB2312" w:cs="仿宋_GB2312"/>
          <w:sz w:val="32"/>
          <w:szCs w:val="32"/>
        </w:rPr>
        <w:t>元/㎡支付（最低不少于</w:t>
      </w:r>
      <w:r>
        <w:rPr>
          <w:rFonts w:hint="eastAsia" w:eastAsia="仿宋_GB2312"/>
          <w:sz w:val="32"/>
          <w:szCs w:val="32"/>
        </w:rPr>
        <w:t>500</w:t>
      </w:r>
      <w:r>
        <w:rPr>
          <w:rFonts w:hint="eastAsia" w:ascii="仿宋_GB2312" w:hAnsi="仿宋_GB2312" w:eastAsia="仿宋_GB2312" w:cs="仿宋_GB2312"/>
          <w:sz w:val="32"/>
          <w:szCs w:val="32"/>
        </w:rPr>
        <w:t>元/户）；选择产权调换并需过渡安置的，按标准给予二次搬迁补助费。</w:t>
      </w:r>
    </w:p>
    <w:p>
      <w:pPr>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五、征收非住宅房屋造成的停产停业损失的补偿</w:t>
      </w:r>
    </w:p>
    <w:p>
      <w:pPr>
        <w:spacing w:line="540" w:lineRule="exact"/>
        <w:ind w:firstLine="640" w:firstLineChars="200"/>
        <w:rPr>
          <w:rFonts w:hint="eastAsia" w:eastAsia="仿宋_GB2312"/>
          <w:sz w:val="32"/>
          <w:szCs w:val="32"/>
        </w:rPr>
      </w:pPr>
      <w:r>
        <w:rPr>
          <w:rFonts w:hint="eastAsia" w:ascii="仿宋_GB2312" w:hAnsi="仿宋_GB2312" w:eastAsia="仿宋_GB2312" w:cs="仿宋_GB2312"/>
          <w:sz w:val="32"/>
          <w:szCs w:val="32"/>
        </w:rPr>
        <w:t>因征收房屋造成停产停业的，房屋征收部门向被征收人支付不超过非住宅房屋货币补偿金</w:t>
      </w:r>
      <w:r>
        <w:rPr>
          <w:rFonts w:hint="eastAsia" w:eastAsia="仿宋_GB2312"/>
          <w:sz w:val="32"/>
          <w:szCs w:val="32"/>
        </w:rPr>
        <w:t>额4%</w:t>
      </w:r>
      <w:r>
        <w:rPr>
          <w:rFonts w:hint="eastAsia" w:ascii="仿宋_GB2312" w:hAnsi="仿宋_GB2312" w:eastAsia="仿宋_GB2312" w:cs="仿宋_GB2312"/>
          <w:sz w:val="32"/>
          <w:szCs w:val="32"/>
        </w:rPr>
        <w:t>的停产停业损失补偿。</w:t>
      </w:r>
    </w:p>
    <w:p>
      <w:pPr>
        <w:spacing w:line="54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第三部分 补助和奖励</w:t>
      </w:r>
    </w:p>
    <w:p>
      <w:pPr>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一、补助</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在规定的签约期限内被征收人有以下情况的，一次性给予</w:t>
      </w:r>
      <w:r>
        <w:rPr>
          <w:rFonts w:hint="eastAsia" w:eastAsia="仿宋_GB2312"/>
          <w:sz w:val="32"/>
          <w:szCs w:val="32"/>
        </w:rPr>
        <w:t>3</w:t>
      </w:r>
      <w:r>
        <w:rPr>
          <w:rFonts w:hint="eastAsia" w:ascii="仿宋_GB2312" w:hAnsi="仿宋_GB2312" w:eastAsia="仿宋_GB2312" w:cs="仿宋_GB2312"/>
          <w:sz w:val="32"/>
          <w:szCs w:val="32"/>
        </w:rPr>
        <w:t>万元/户的补助：</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（一）经民政部门核定享受城镇居民最低生活保障的；</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（二）生活困难的孤老或无劳动能力的残疾人员；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（三）烈属、伤残军人。</w:t>
      </w:r>
    </w:p>
    <w:p>
      <w:pPr>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二、奖励</w:t>
      </w:r>
    </w:p>
    <w:p>
      <w:pPr>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自启动签订房屋征收补偿协议之日起30日内签订征收补偿协议并在搬迁期限内搬迁完毕的，按被征收房屋的</w:t>
      </w:r>
      <w:r>
        <w:rPr>
          <w:rFonts w:hint="eastAsia" w:eastAsia="仿宋_GB2312"/>
          <w:sz w:val="32"/>
          <w:szCs w:val="32"/>
        </w:rPr>
        <w:t>产权</w:t>
      </w:r>
      <w:r>
        <w:rPr>
          <w:rFonts w:eastAsia="仿宋_GB2312"/>
          <w:sz w:val="32"/>
          <w:szCs w:val="32"/>
        </w:rPr>
        <w:t>建筑面积每平方米奖励500元。</w:t>
      </w:r>
    </w:p>
    <w:p>
      <w:pPr>
        <w:spacing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自启动签订房屋征收补偿协议之日起31</w:t>
      </w:r>
      <w:r>
        <w:rPr>
          <w:rFonts w:hint="eastAsia" w:eastAsia="仿宋_GB2312"/>
          <w:sz w:val="32"/>
          <w:szCs w:val="32"/>
        </w:rPr>
        <w:t>—</w:t>
      </w:r>
      <w:r>
        <w:rPr>
          <w:rFonts w:eastAsia="仿宋_GB2312"/>
          <w:sz w:val="32"/>
          <w:szCs w:val="32"/>
        </w:rPr>
        <w:t>60日内签订征收补偿协议并在搬迁期限内搬迁完毕的，按被征收房屋的</w:t>
      </w:r>
      <w:r>
        <w:rPr>
          <w:rFonts w:hint="eastAsia" w:eastAsia="仿宋_GB2312"/>
          <w:sz w:val="32"/>
          <w:szCs w:val="32"/>
        </w:rPr>
        <w:t>产权</w:t>
      </w:r>
      <w:r>
        <w:rPr>
          <w:rFonts w:eastAsia="仿宋_GB2312"/>
          <w:sz w:val="32"/>
          <w:szCs w:val="32"/>
        </w:rPr>
        <w:t>建筑面积每平方米奖励200元。</w:t>
      </w:r>
    </w:p>
    <w:p>
      <w:pPr>
        <w:spacing w:line="54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被征收人选择货币补偿并在签约期限内签订征收补偿协议,同时在搬迁期限内搬迁完毕的，按被征收房屋评估价格20%给予奖励</w:t>
      </w:r>
      <w:r>
        <w:rPr>
          <w:rFonts w:hint="eastAsia" w:eastAsia="仿宋_GB2312"/>
          <w:sz w:val="32"/>
          <w:szCs w:val="32"/>
        </w:rPr>
        <w:t>。</w:t>
      </w:r>
    </w:p>
    <w:p>
      <w:pPr>
        <w:spacing w:line="54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第四部分 房屋征收程序</w:t>
      </w:r>
    </w:p>
    <w:p>
      <w:pPr>
        <w:spacing w:line="540" w:lineRule="exact"/>
        <w:ind w:firstLine="643" w:firstLineChars="200"/>
        <w:rPr>
          <w:rFonts w:eastAsia="仿宋_GB2312"/>
          <w:sz w:val="32"/>
          <w:szCs w:val="32"/>
        </w:rPr>
      </w:pPr>
      <w:r>
        <w:rPr>
          <w:rFonts w:hint="eastAsia" w:ascii="仿宋" w:hAnsi="仿宋" w:eastAsia="仿宋" w:cs="仿宋"/>
          <w:b/>
          <w:bCs/>
          <w:sz w:val="32"/>
          <w:szCs w:val="32"/>
        </w:rPr>
        <w:t>一、签约期限：</w:t>
      </w:r>
      <w:r>
        <w:rPr>
          <w:rFonts w:eastAsia="仿宋_GB2312"/>
          <w:sz w:val="32"/>
          <w:szCs w:val="32"/>
        </w:rPr>
        <w:t>自公布通知签订征收补偿协议之日起</w:t>
      </w:r>
      <w:r>
        <w:rPr>
          <w:rFonts w:hint="eastAsia" w:eastAsia="仿宋_GB2312"/>
          <w:sz w:val="32"/>
          <w:szCs w:val="32"/>
        </w:rPr>
        <w:t>60</w:t>
      </w:r>
      <w:r>
        <w:rPr>
          <w:rFonts w:hint="eastAsia" w:ascii="仿宋" w:hAnsi="仿宋" w:eastAsia="仿宋"/>
          <w:sz w:val="32"/>
          <w:szCs w:val="32"/>
        </w:rPr>
        <w:t>日</w:t>
      </w:r>
      <w:r>
        <w:rPr>
          <w:rFonts w:eastAsia="仿宋_GB2312"/>
          <w:sz w:val="32"/>
          <w:szCs w:val="32"/>
        </w:rPr>
        <w:t>内。</w:t>
      </w:r>
    </w:p>
    <w:p>
      <w:pPr>
        <w:spacing w:line="540" w:lineRule="exact"/>
        <w:ind w:firstLine="643" w:firstLineChars="200"/>
        <w:rPr>
          <w:rFonts w:hint="eastAsia" w:eastAsia="仿宋_GB2312"/>
          <w:sz w:val="32"/>
          <w:szCs w:val="32"/>
        </w:rPr>
      </w:pPr>
      <w:r>
        <w:rPr>
          <w:rFonts w:hint="eastAsia" w:ascii="仿宋" w:hAnsi="仿宋" w:eastAsia="仿宋" w:cs="仿宋"/>
          <w:b/>
          <w:bCs/>
          <w:sz w:val="32"/>
          <w:szCs w:val="32"/>
        </w:rPr>
        <w:t>二、作出补偿决定：</w:t>
      </w:r>
      <w:r>
        <w:rPr>
          <w:rFonts w:hint="eastAsia" w:eastAsia="仿宋_GB2312"/>
          <w:sz w:val="32"/>
          <w:szCs w:val="32"/>
        </w:rPr>
        <w:t>在签约期限内达不成补偿协议，或者被征收房屋所有权人不明确的，由房屋征收部门报请柳州市城中区人民政府，按照征收补偿方案作出补偿决定，并在房屋征收范围内予以公告。</w:t>
      </w:r>
    </w:p>
    <w:p>
      <w:pPr>
        <w:spacing w:line="540" w:lineRule="exact"/>
        <w:ind w:firstLine="640" w:firstLineChars="200"/>
        <w:rPr>
          <w:rFonts w:hint="eastAsia" w:eastAsia="仿宋_GB2312"/>
          <w:b/>
          <w:bCs/>
          <w:sz w:val="32"/>
          <w:szCs w:val="32"/>
        </w:rPr>
      </w:pPr>
      <w:r>
        <w:rPr>
          <w:rFonts w:hint="eastAsia" w:eastAsia="仿宋_GB2312"/>
          <w:sz w:val="32"/>
          <w:szCs w:val="32"/>
        </w:rPr>
        <w:t>被征收人对补偿决定不服的，可以依法申请行政复议，也可以依法提起行政诉讼。</w:t>
      </w:r>
    </w:p>
    <w:p>
      <w:pPr>
        <w:spacing w:line="54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第五部分 其他</w:t>
      </w:r>
    </w:p>
    <w:p>
      <w:pPr>
        <w:spacing w:line="540" w:lineRule="exact"/>
        <w:ind w:firstLine="640" w:firstLineChars="200"/>
        <w:rPr>
          <w:rFonts w:hint="eastAsia" w:eastAsia="仿宋_GB2312"/>
          <w:sz w:val="32"/>
          <w:szCs w:val="32"/>
        </w:rPr>
      </w:pPr>
      <w:r>
        <w:rPr>
          <w:rFonts w:hint="eastAsia" w:eastAsia="仿宋_GB2312"/>
          <w:sz w:val="32"/>
          <w:szCs w:val="32"/>
        </w:rPr>
        <w:t>一、本方案的补偿标准适用于本项目范围内有房屋权属证书的被征收房屋。</w:t>
      </w:r>
    </w:p>
    <w:p>
      <w:pPr>
        <w:spacing w:line="540" w:lineRule="exact"/>
        <w:ind w:firstLine="640" w:firstLineChars="200"/>
        <w:rPr>
          <w:rFonts w:hint="eastAsia" w:eastAsia="仿宋_GB2312"/>
          <w:sz w:val="32"/>
          <w:szCs w:val="32"/>
        </w:rPr>
      </w:pPr>
      <w:r>
        <w:rPr>
          <w:rFonts w:hint="eastAsia" w:eastAsia="仿宋_GB2312"/>
          <w:sz w:val="32"/>
          <w:szCs w:val="32"/>
        </w:rPr>
        <w:t>二、本项目征收范围内未经登记的建筑或房屋权属证书记载和房屋实际使用性质不一致的，由城区政府组织有关部门依法进行调查、认定和处理，具体补偿标准另行通知。</w:t>
      </w:r>
    </w:p>
    <w:p>
      <w:pPr>
        <w:snapToGrid w:val="0"/>
        <w:spacing w:line="54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三、本方案自该项目征收决定公告之日起实施。本方案未尽事宜，按照国家法律法规及相关配套政策性文件有关规定执行。</w:t>
      </w:r>
    </w:p>
    <w:p>
      <w:pPr>
        <w:keepNext w:val="0"/>
        <w:keepLines w:val="0"/>
        <w:widowControl w:val="0"/>
        <w:suppressLineNumbers w:val="0"/>
        <w:spacing w:before="0" w:beforeAutospacing="0" w:after="0" w:afterAutospacing="0" w:line="560" w:lineRule="exact"/>
        <w:ind w:left="0" w:right="0"/>
        <w:jc w:val="both"/>
        <w:rPr>
          <w:rFonts w:eastAsia="黑体"/>
          <w:bCs/>
          <w:sz w:val="32"/>
          <w:szCs w:val="32"/>
          <w:lang w:val="en-US"/>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柳州市城中区人民政府</w:t>
      </w:r>
    </w:p>
    <w:p>
      <w:pPr>
        <w:spacing w:line="560" w:lineRule="exact"/>
        <w:ind w:firstLine="640" w:firstLineChars="200"/>
        <w:jc w:val="center"/>
        <w:rPr>
          <w:rFonts w:hint="default" w:ascii="Times New Roman" w:hAnsi="Times New Roman" w:cs="Times New Roman"/>
          <w:sz w:val="30"/>
          <w:szCs w:val="30"/>
        </w:rPr>
      </w:pPr>
      <w:r>
        <w:rPr>
          <w:rFonts w:hint="default" w:ascii="Times New Roman" w:hAnsi="Times New Roman" w:eastAsia="仿宋_GB2312" w:cs="Times New Roman"/>
          <w:color w:val="FF0000"/>
          <w:sz w:val="32"/>
          <w:szCs w:val="32"/>
        </w:rPr>
        <w:t xml:space="preserve">                        </w:t>
      </w:r>
      <w:r>
        <w:rPr>
          <w:rFonts w:hint="eastAsia" w:eastAsia="仿宋_GB2312" w:cs="Times New Roman"/>
          <w:color w:val="FF0000"/>
          <w:sz w:val="32"/>
          <w:szCs w:val="32"/>
          <w:lang w:val="en-US" w:eastAsia="zh-CN"/>
        </w:rPr>
        <w:t xml:space="preserve"> </w:t>
      </w:r>
      <w:r>
        <w:rPr>
          <w:rFonts w:hint="default" w:ascii="Times New Roman" w:hAnsi="Times New Roman" w:eastAsia="仿宋_GB2312" w:cs="Times New Roman"/>
          <w:sz w:val="32"/>
          <w:szCs w:val="32"/>
        </w:rPr>
        <w:t>202</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15</w:t>
      </w:r>
      <w:r>
        <w:rPr>
          <w:rFonts w:hint="default" w:ascii="Times New Roman" w:hAnsi="Times New Roman" w:eastAsia="仿宋_GB2312" w:cs="Times New Roman"/>
          <w:sz w:val="32"/>
          <w:szCs w:val="32"/>
        </w:rPr>
        <w:t>日</w:t>
      </w:r>
      <w:r>
        <w:rPr>
          <w:rFonts w:hint="default" w:ascii="Times New Roman" w:hAnsi="Times New Roman" w:cs="Times New Roman"/>
          <w:sz w:val="30"/>
          <w:szCs w:val="30"/>
        </w:rPr>
        <w:t xml:space="preserve"> </w:t>
      </w: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both"/>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p>
    <w:p>
      <w:pPr>
        <w:spacing w:line="560" w:lineRule="exact"/>
        <w:ind w:firstLine="600" w:firstLineChars="200"/>
        <w:jc w:val="center"/>
        <w:rPr>
          <w:rFonts w:hint="default" w:ascii="Times New Roman" w:hAnsi="Times New Roman" w:cs="Times New Roman"/>
          <w:sz w:val="30"/>
          <w:szCs w:val="30"/>
        </w:rPr>
      </w:pPr>
      <w:bookmarkStart w:id="0" w:name="_GoBack"/>
      <w:bookmarkEnd w:id="0"/>
    </w:p>
    <w:p>
      <w:pPr>
        <w:spacing w:line="560" w:lineRule="exact"/>
        <w:ind w:firstLine="600" w:firstLineChars="200"/>
        <w:jc w:val="center"/>
        <w:rPr>
          <w:rFonts w:hint="default" w:ascii="Times New Roman" w:hAnsi="Times New Roman" w:cs="Times New Roman"/>
          <w:sz w:val="30"/>
          <w:szCs w:val="30"/>
        </w:rPr>
      </w:pPr>
    </w:p>
    <w:p>
      <w:pPr>
        <w:keepNext w:val="0"/>
        <w:keepLines w:val="0"/>
        <w:widowControl w:val="0"/>
        <w:suppressLineNumbers w:val="0"/>
        <w:spacing w:before="0" w:beforeAutospacing="0" w:after="0" w:afterAutospacing="0" w:line="560" w:lineRule="exact"/>
        <w:ind w:right="0"/>
        <w:jc w:val="both"/>
        <w:rPr>
          <w:sz w:val="30"/>
          <w:szCs w:val="30"/>
          <w:lang w:val="en-US"/>
        </w:rPr>
      </w:pPr>
      <w:r>
        <w:rPr>
          <w:rFonts w:hint="default" w:ascii="Times New Roman" w:hAnsi="Times New Roman" w:eastAsia="仿宋_GB2312" w:cs="Times New Roman"/>
          <w:kern w:val="2"/>
          <w:sz w:val="32"/>
          <w:szCs w:val="32"/>
          <w:lang w:val="en-US" w:eastAsia="zh-CN" w:bidi="ar"/>
        </w:rPr>
        <w:t xml:space="preserve">                         </w:t>
      </w:r>
    </w:p>
    <w:p>
      <w:pPr>
        <w:spacing w:line="440" w:lineRule="exact"/>
        <w:rPr>
          <w:rFonts w:hint="default" w:ascii="Times New Roman" w:hAnsi="Times New Roman" w:eastAsia="仿宋_GB2312" w:cs="Times New Roman"/>
          <w:b/>
          <w:color w:val="000000"/>
          <w:sz w:val="32"/>
          <w:szCs w:val="32"/>
        </w:rPr>
      </w:pPr>
      <w:r>
        <w:rPr>
          <w:rFonts w:hint="default" w:ascii="Times New Roman" w:hAnsi="Times New Roman" w:cs="Times New Roman"/>
          <w:color w:val="000000"/>
          <w:sz w:val="32"/>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277495</wp:posOffset>
                </wp:positionV>
                <wp:extent cx="5753100" cy="1905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5753100" cy="1905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5pt;margin-top:21.85pt;height:1.5pt;width:453pt;z-index:251657216;mso-width-relative:page;mso-height-relative:page;" filled="f" stroked="t" coordsize="21600,21600" o:gfxdata="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f7LgNkAAAAIAQAA&#10;DwAAAAAAAAABACAAAAAiAAAAZHJzL2Rvd25yZXYueG1sUEsBAhQAFAAAAAgAh07iQHNxrf/fAQAA&#10;mgMAAA4AAAAAAAAAAQAgAAAAKAEAAGRycy9lMm9Eb2MueG1sUEsFBgAAAAAGAAYAWQEAAHkFAAAA&#10;AA==&#10;">
                <v:fill on="f" focussize="0,0"/>
                <v:stroke weight="0.25pt" color="#000000" joinstyle="round"/>
                <v:imagedata o:title=""/>
                <o:lock v:ext="edit" aspectratio="f"/>
              </v:line>
            </w:pict>
          </mc:Fallback>
        </mc:AlternateContent>
      </w:r>
      <w:r>
        <w:rPr>
          <w:rFonts w:hint="default" w:ascii="Times New Roman" w:hAnsi="Times New Roman" w:eastAsia="黑体" w:cs="Times New Roman"/>
          <w:bCs/>
          <w:color w:val="000000"/>
          <w:sz w:val="32"/>
          <w:szCs w:val="32"/>
        </w:rPr>
        <w:t>公开方式：主动公开</w:t>
      </w:r>
      <w:r>
        <w:rPr>
          <w:rFonts w:hint="default" w:ascii="Times New Roman" w:hAnsi="Times New Roman" w:eastAsia="仿宋_GB2312" w:cs="Times New Roman"/>
          <w:b/>
          <w:color w:val="000000"/>
          <w:sz w:val="32"/>
          <w:szCs w:val="32"/>
        </w:rPr>
        <w:t xml:space="preserve">  </w:t>
      </w:r>
    </w:p>
    <w:p>
      <w:pPr>
        <w:spacing w:line="440" w:lineRule="exact"/>
        <w:rPr>
          <w:rFonts w:hint="default" w:ascii="Times New Roman" w:hAnsi="Times New Roman" w:cs="Times New Roman"/>
          <w:color w:val="000000"/>
          <w:sz w:val="30"/>
          <w:szCs w:val="30"/>
        </w:rPr>
      </w:pPr>
      <w:r>
        <w:rPr>
          <w:rFonts w:hint="default" w:ascii="Times New Roman" w:hAnsi="Times New Roman" w:cs="Times New Roman"/>
          <w:color w:val="000000"/>
          <w:sz w:val="32"/>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321945</wp:posOffset>
                </wp:positionV>
                <wp:extent cx="5753100" cy="19050"/>
                <wp:effectExtent l="0" t="4445" r="0" b="5080"/>
                <wp:wrapNone/>
                <wp:docPr id="6" name="直接连接符 6"/>
                <wp:cNvGraphicFramePr/>
                <a:graphic xmlns:a="http://schemas.openxmlformats.org/drawingml/2006/main">
                  <a:graphicData uri="http://schemas.microsoft.com/office/word/2010/wordprocessingShape">
                    <wps:wsp>
                      <wps:cNvCnPr/>
                      <wps:spPr>
                        <a:xfrm>
                          <a:off x="0" y="0"/>
                          <a:ext cx="5753100" cy="1905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5pt;margin-top:25.35pt;height:1.5pt;width:453pt;z-index:251658240;mso-width-relative:page;mso-height-relative:page;" filled="f" stroked="t" coordsize="21600,21600" o:gfxdata="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ZvcuPZAAAACAEA&#10;AA8AAAAAAAAAAQAgAAAAIgAAAGRycy9kb3ducmV2LnhtbFBLAQIUABQAAAAIAIdO4kA5QV124AEA&#10;AJoDAAAOAAAAAAAAAAEAIAAAACgBAABkcnMvZTJvRG9jLnhtbFBLBQYAAAAABgAGAFkBAAB6BQAA&#10;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28"/>
          <w:szCs w:val="28"/>
        </w:rPr>
        <w:t>柳州市城中区人民政府</w:t>
      </w:r>
      <w:r>
        <w:rPr>
          <w:rFonts w:hint="eastAsia" w:eastAsia="仿宋_GB2312" w:cs="Times New Roman"/>
          <w:color w:val="000000"/>
          <w:sz w:val="28"/>
          <w:szCs w:val="28"/>
          <w:lang w:eastAsia="zh-CN"/>
        </w:rPr>
        <w:t>办公室</w:t>
      </w:r>
      <w:r>
        <w:rPr>
          <w:rFonts w:hint="default" w:ascii="Times New Roman" w:hAnsi="Times New Roman" w:eastAsia="仿宋_GB2312" w:cs="Times New Roman"/>
          <w:color w:val="000000"/>
          <w:sz w:val="28"/>
          <w:szCs w:val="28"/>
        </w:rPr>
        <w:t xml:space="preserve">               202</w:t>
      </w:r>
      <w:r>
        <w:rPr>
          <w:rFonts w:hint="eastAsia" w:eastAsia="仿宋_GB2312" w:cs="Times New Roman"/>
          <w:color w:val="000000"/>
          <w:sz w:val="28"/>
          <w:szCs w:val="28"/>
          <w:lang w:val="en-US" w:eastAsia="zh-CN"/>
        </w:rPr>
        <w:t>2</w:t>
      </w:r>
      <w:r>
        <w:rPr>
          <w:rFonts w:hint="default" w:ascii="Times New Roman" w:hAnsi="Times New Roman" w:eastAsia="仿宋_GB2312" w:cs="Times New Roman"/>
          <w:color w:val="000000"/>
          <w:sz w:val="28"/>
          <w:szCs w:val="28"/>
        </w:rPr>
        <w:t>年1</w:t>
      </w:r>
      <w:r>
        <w:rPr>
          <w:rFonts w:hint="eastAsia" w:eastAsia="仿宋_GB2312" w:cs="Times New Roman"/>
          <w:color w:val="000000"/>
          <w:sz w:val="28"/>
          <w:szCs w:val="28"/>
          <w:lang w:val="en-US" w:eastAsia="zh-CN"/>
        </w:rPr>
        <w:t>1</w:t>
      </w:r>
      <w:r>
        <w:rPr>
          <w:rFonts w:hint="default" w:ascii="Times New Roman" w:hAnsi="Times New Roman" w:eastAsia="仿宋_GB2312" w:cs="Times New Roman"/>
          <w:color w:val="000000"/>
          <w:sz w:val="28"/>
          <w:szCs w:val="28"/>
        </w:rPr>
        <w:t>月</w:t>
      </w:r>
      <w:r>
        <w:rPr>
          <w:rFonts w:hint="eastAsia" w:eastAsia="仿宋_GB2312" w:cs="Times New Roman"/>
          <w:color w:val="000000"/>
          <w:sz w:val="28"/>
          <w:szCs w:val="28"/>
          <w:lang w:val="en-US" w:eastAsia="zh-CN"/>
        </w:rPr>
        <w:t>15</w:t>
      </w:r>
      <w:r>
        <w:rPr>
          <w:rFonts w:hint="default" w:ascii="Times New Roman" w:hAnsi="Times New Roman" w:eastAsia="仿宋_GB2312" w:cs="Times New Roman"/>
          <w:color w:val="000000"/>
          <w:sz w:val="28"/>
          <w:szCs w:val="28"/>
        </w:rPr>
        <w:t>日印发</w:t>
      </w:r>
      <w:r>
        <w:rPr>
          <w:rFonts w:hint="default" w:ascii="Times New Roman" w:hAnsi="Times New Roman" w:eastAsia="仿宋_GB2312" w:cs="Times New Roman"/>
          <w:color w:val="000000"/>
          <w:sz w:val="30"/>
          <w:szCs w:val="30"/>
        </w:rPr>
        <w:t xml:space="preserve"> </w:t>
      </w:r>
    </w:p>
    <w:sectPr>
      <w:headerReference r:id="rId3" w:type="default"/>
      <w:footerReference r:id="rId4" w:type="default"/>
      <w:footerReference r:id="rId5" w:type="even"/>
      <w:pgSz w:w="11906" w:h="16838"/>
      <w:pgMar w:top="1985" w:right="1588" w:bottom="1418"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en-US" w:eastAsia="zh-CN"/>
                            </w:rPr>
                            <w:t>1</w:t>
                          </w:r>
                          <w:r>
                            <w:rPr>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CS1wuK8BAABL&#10;AwAADgAAAAAAAAABACAAAAAeAQAAZHJzL2Uyb0RvYy54bWxQSwUGAAAAAAYABgBZAQAAPwU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en-US" w:eastAsia="zh-CN"/>
                      </w:rPr>
                      <w:t>1</w:t>
                    </w:r>
                    <w:r>
                      <w:rPr>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Vun5X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CF0"/>
    <w:rsid w:val="00090FDF"/>
    <w:rsid w:val="00094800"/>
    <w:rsid w:val="000A17D7"/>
    <w:rsid w:val="000A79CC"/>
    <w:rsid w:val="000B1A43"/>
    <w:rsid w:val="000E3FCC"/>
    <w:rsid w:val="000E5029"/>
    <w:rsid w:val="00115CFF"/>
    <w:rsid w:val="00182A01"/>
    <w:rsid w:val="001A6A50"/>
    <w:rsid w:val="001C32B2"/>
    <w:rsid w:val="001E35BD"/>
    <w:rsid w:val="002248DA"/>
    <w:rsid w:val="00227EBA"/>
    <w:rsid w:val="002305EC"/>
    <w:rsid w:val="00262FAE"/>
    <w:rsid w:val="002640AD"/>
    <w:rsid w:val="00267400"/>
    <w:rsid w:val="002723AF"/>
    <w:rsid w:val="00285575"/>
    <w:rsid w:val="002926CE"/>
    <w:rsid w:val="002A18D9"/>
    <w:rsid w:val="002C6ADE"/>
    <w:rsid w:val="002E0F1F"/>
    <w:rsid w:val="002F4DC4"/>
    <w:rsid w:val="00304F5B"/>
    <w:rsid w:val="00316BEF"/>
    <w:rsid w:val="003273D1"/>
    <w:rsid w:val="00351F92"/>
    <w:rsid w:val="00362025"/>
    <w:rsid w:val="00397190"/>
    <w:rsid w:val="003A7F91"/>
    <w:rsid w:val="003C7267"/>
    <w:rsid w:val="00415485"/>
    <w:rsid w:val="00417AED"/>
    <w:rsid w:val="0043100C"/>
    <w:rsid w:val="0043762C"/>
    <w:rsid w:val="00457DF7"/>
    <w:rsid w:val="0047110F"/>
    <w:rsid w:val="00486E39"/>
    <w:rsid w:val="004905D0"/>
    <w:rsid w:val="00496B65"/>
    <w:rsid w:val="004A00C7"/>
    <w:rsid w:val="004D0A9C"/>
    <w:rsid w:val="004E5B9A"/>
    <w:rsid w:val="0051787B"/>
    <w:rsid w:val="00580B46"/>
    <w:rsid w:val="00586D72"/>
    <w:rsid w:val="005B76EF"/>
    <w:rsid w:val="00600BB6"/>
    <w:rsid w:val="006205E2"/>
    <w:rsid w:val="006308AC"/>
    <w:rsid w:val="0068035D"/>
    <w:rsid w:val="006904D9"/>
    <w:rsid w:val="006B2EC1"/>
    <w:rsid w:val="006B4BCE"/>
    <w:rsid w:val="006B53F6"/>
    <w:rsid w:val="006D39E4"/>
    <w:rsid w:val="006E2E67"/>
    <w:rsid w:val="006F390C"/>
    <w:rsid w:val="00706589"/>
    <w:rsid w:val="007170FE"/>
    <w:rsid w:val="007255BE"/>
    <w:rsid w:val="0073366E"/>
    <w:rsid w:val="00740FD3"/>
    <w:rsid w:val="00766F80"/>
    <w:rsid w:val="007704AE"/>
    <w:rsid w:val="007707B2"/>
    <w:rsid w:val="00783AD3"/>
    <w:rsid w:val="00797B18"/>
    <w:rsid w:val="007C235D"/>
    <w:rsid w:val="007C689F"/>
    <w:rsid w:val="007E156C"/>
    <w:rsid w:val="0080233B"/>
    <w:rsid w:val="00817233"/>
    <w:rsid w:val="008440EC"/>
    <w:rsid w:val="00856D82"/>
    <w:rsid w:val="008700F1"/>
    <w:rsid w:val="00887C4D"/>
    <w:rsid w:val="008965C3"/>
    <w:rsid w:val="008A0336"/>
    <w:rsid w:val="008E611A"/>
    <w:rsid w:val="009611D5"/>
    <w:rsid w:val="00966AC8"/>
    <w:rsid w:val="009725E9"/>
    <w:rsid w:val="00980DD4"/>
    <w:rsid w:val="0098641F"/>
    <w:rsid w:val="00991C5E"/>
    <w:rsid w:val="009A358A"/>
    <w:rsid w:val="009C16D4"/>
    <w:rsid w:val="00A03E9E"/>
    <w:rsid w:val="00A1439D"/>
    <w:rsid w:val="00A14438"/>
    <w:rsid w:val="00A51317"/>
    <w:rsid w:val="00A646E5"/>
    <w:rsid w:val="00A74AB8"/>
    <w:rsid w:val="00A81CEA"/>
    <w:rsid w:val="00A92775"/>
    <w:rsid w:val="00AA401C"/>
    <w:rsid w:val="00B570F4"/>
    <w:rsid w:val="00BA00BB"/>
    <w:rsid w:val="00BA231B"/>
    <w:rsid w:val="00BB4CCE"/>
    <w:rsid w:val="00BF6056"/>
    <w:rsid w:val="00C22C66"/>
    <w:rsid w:val="00C27C85"/>
    <w:rsid w:val="00C72998"/>
    <w:rsid w:val="00C7542C"/>
    <w:rsid w:val="00C83F3C"/>
    <w:rsid w:val="00CA6838"/>
    <w:rsid w:val="00CD3A42"/>
    <w:rsid w:val="00D83513"/>
    <w:rsid w:val="00D84F64"/>
    <w:rsid w:val="00D90DD7"/>
    <w:rsid w:val="00DB20D9"/>
    <w:rsid w:val="00DC755D"/>
    <w:rsid w:val="00DD688E"/>
    <w:rsid w:val="00DF3498"/>
    <w:rsid w:val="00E010F9"/>
    <w:rsid w:val="00E10120"/>
    <w:rsid w:val="00E261D5"/>
    <w:rsid w:val="00E40769"/>
    <w:rsid w:val="00E60C33"/>
    <w:rsid w:val="00E65A65"/>
    <w:rsid w:val="00E828CA"/>
    <w:rsid w:val="00EA0740"/>
    <w:rsid w:val="00EA491D"/>
    <w:rsid w:val="00ED1C2B"/>
    <w:rsid w:val="00EF648E"/>
    <w:rsid w:val="00F17D46"/>
    <w:rsid w:val="00F41857"/>
    <w:rsid w:val="00F6354A"/>
    <w:rsid w:val="00F744B7"/>
    <w:rsid w:val="00FC1C50"/>
    <w:rsid w:val="00FC3DBB"/>
    <w:rsid w:val="00FE60AC"/>
    <w:rsid w:val="09534F7D"/>
    <w:rsid w:val="0F2D263C"/>
    <w:rsid w:val="12012BC7"/>
    <w:rsid w:val="1360367D"/>
    <w:rsid w:val="16BE4942"/>
    <w:rsid w:val="1A02399C"/>
    <w:rsid w:val="1DFC16A3"/>
    <w:rsid w:val="1EAF1CAF"/>
    <w:rsid w:val="20B53601"/>
    <w:rsid w:val="23B460B3"/>
    <w:rsid w:val="28E41C85"/>
    <w:rsid w:val="29E60D9A"/>
    <w:rsid w:val="2C5528CC"/>
    <w:rsid w:val="2CE83064"/>
    <w:rsid w:val="320C5D2B"/>
    <w:rsid w:val="337559C7"/>
    <w:rsid w:val="36E47652"/>
    <w:rsid w:val="3A2C018D"/>
    <w:rsid w:val="3D331B51"/>
    <w:rsid w:val="3EFB56BE"/>
    <w:rsid w:val="41B1616A"/>
    <w:rsid w:val="45322E2B"/>
    <w:rsid w:val="47EB5BD6"/>
    <w:rsid w:val="4AA724C7"/>
    <w:rsid w:val="4C3F5814"/>
    <w:rsid w:val="4F447FEE"/>
    <w:rsid w:val="517350A3"/>
    <w:rsid w:val="660D1611"/>
    <w:rsid w:val="66D917D2"/>
    <w:rsid w:val="6A55060A"/>
    <w:rsid w:val="71C6779E"/>
    <w:rsid w:val="77420A41"/>
    <w:rsid w:val="77ED5363"/>
    <w:rsid w:val="7D153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0"/>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页眉 Char"/>
    <w:link w:val="5"/>
    <w:qFormat/>
    <w:uiPriority w:val="99"/>
    <w:rPr>
      <w:kern w:val="2"/>
      <w:sz w:val="18"/>
      <w:szCs w:val="18"/>
    </w:rPr>
  </w:style>
  <w:style w:type="character" w:customStyle="1" w:styleId="11">
    <w:name w:val="页脚 Char"/>
    <w:link w:val="4"/>
    <w:qFormat/>
    <w:uiPriority w:val="99"/>
    <w:rPr>
      <w:kern w:val="2"/>
      <w:sz w:val="18"/>
      <w:szCs w:val="18"/>
    </w:rPr>
  </w:style>
  <w:style w:type="character" w:customStyle="1" w:styleId="12">
    <w:name w:val="页眉 Char1"/>
    <w:basedOn w:val="7"/>
    <w:link w:val="5"/>
    <w:qFormat/>
    <w:uiPriority w:val="0"/>
    <w:rPr>
      <w:kern w:val="2"/>
      <w:sz w:val="18"/>
      <w:szCs w:val="18"/>
    </w:rPr>
  </w:style>
  <w:style w:type="character" w:customStyle="1" w:styleId="13">
    <w:name w:val="页脚 Char1"/>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108</Words>
  <Characters>618</Characters>
  <Lines>5</Lines>
  <Paragraphs>1</Paragraphs>
  <TotalTime>118</TotalTime>
  <ScaleCrop>false</ScaleCrop>
  <LinksUpToDate>false</LinksUpToDate>
  <CharactersWithSpaces>725</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2021-11-03T03:19:00Z</dcterms:created>
  <dc:creator>微软用户</dc:creator>
  <cp:lastModifiedBy>lenovo</cp:lastModifiedBy>
  <cp:lastPrinted>2022-11-14T02:04:00Z</cp:lastPrinted>
  <dcterms:modified xsi:type="dcterms:W3CDTF">2022-11-15T08:21:34Z</dcterms:modified>
  <dc:title>凤凰山棚户区改造房屋征收补偿安置方案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