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eastAsia="方正小标宋简体"/>
          <w:sz w:val="44"/>
          <w:szCs w:val="44"/>
        </w:rPr>
      </w:pPr>
      <w:r>
        <w:rPr>
          <w:rFonts w:hint="eastAsia" w:ascii="方正小标宋简体" w:eastAsia="方正小标宋简体"/>
          <w:sz w:val="44"/>
          <w:szCs w:val="44"/>
        </w:rPr>
        <w:t>柳州市城中区现代特色农业示范区</w:t>
      </w:r>
      <w:r>
        <w:rPr>
          <w:rFonts w:hint="eastAsia" w:ascii="方正小标宋简体" w:eastAsia="方正小标宋简体"/>
          <w:sz w:val="44"/>
          <w:szCs w:val="44"/>
          <w:lang w:eastAsia="zh-CN"/>
        </w:rPr>
        <w:t>（园、点）</w:t>
      </w:r>
    </w:p>
    <w:p>
      <w:pPr>
        <w:jc w:val="center"/>
        <w:rPr>
          <w:rFonts w:hint="eastAsia" w:ascii="方正小标宋简体" w:eastAsia="方正小标宋简体"/>
          <w:sz w:val="44"/>
          <w:szCs w:val="44"/>
        </w:rPr>
      </w:pPr>
      <w:r>
        <w:rPr>
          <w:rFonts w:hint="eastAsia" w:ascii="方正小标宋简体" w:eastAsia="方正小标宋简体"/>
          <w:sz w:val="44"/>
          <w:szCs w:val="44"/>
        </w:rPr>
        <w:t>建设补助资金管理办法</w:t>
      </w: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（征求意见稿）</w:t>
      </w:r>
    </w:p>
    <w:p>
      <w:pPr>
        <w:numPr>
          <w:numId w:val="0"/>
        </w:numPr>
        <w:rPr>
          <w:rFonts w:hint="eastAsia" w:ascii="Times New Roman" w:hAnsi="Times New Roman" w:eastAsia="仿宋_GB2312" w:cs="Times New Roman"/>
          <w:sz w:val="32"/>
          <w:szCs w:val="32"/>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为加强和规范现代特色农业示范区建设补助资金管理，提高资金使用效益，根据</w:t>
      </w:r>
      <w:r>
        <w:rPr>
          <w:rFonts w:hint="eastAsia" w:ascii="Times New Roman" w:hAnsi="Times New Roman" w:eastAsia="仿宋_GB2312" w:cs="Times New Roman"/>
          <w:sz w:val="32"/>
          <w:szCs w:val="32"/>
          <w:lang w:eastAsia="zh-CN"/>
        </w:rPr>
        <w:t>《广西现代特色农业现代化示范区高质量建设五年行动方案（</w:t>
      </w:r>
      <w:r>
        <w:rPr>
          <w:rFonts w:hint="eastAsia" w:ascii="Times New Roman" w:hAnsi="Times New Roman" w:eastAsia="仿宋_GB2312" w:cs="Times New Roman"/>
          <w:sz w:val="32"/>
          <w:szCs w:val="32"/>
          <w:lang w:val="en-US" w:eastAsia="zh-CN"/>
        </w:rPr>
        <w:t>2021—2025年</w:t>
      </w:r>
      <w:r>
        <w:rPr>
          <w:rFonts w:hint="eastAsia" w:ascii="Times New Roman" w:hAnsi="Times New Roman" w:eastAsia="仿宋_GB2312" w:cs="Times New Roman"/>
          <w:sz w:val="32"/>
          <w:szCs w:val="32"/>
          <w:lang w:eastAsia="zh-CN"/>
        </w:rPr>
        <w:t>）》（桂政办发</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）、《柳州市特色农业现代化示范区“十四五”建设规划》及</w:t>
      </w:r>
      <w:r>
        <w:rPr>
          <w:rFonts w:hint="eastAsia" w:ascii="仿宋_GB2312" w:eastAsia="仿宋_GB2312"/>
          <w:sz w:val="32"/>
          <w:szCs w:val="32"/>
        </w:rPr>
        <w:t>《柳州市财政局、柳州市农业农村局关于印发柳州市现代特色农业示范区建设补助资金管理办法</w:t>
      </w:r>
      <w:bookmarkStart w:id="0" w:name="_GoBack"/>
      <w:bookmarkEnd w:id="0"/>
      <w:r>
        <w:rPr>
          <w:rFonts w:hint="eastAsia" w:ascii="仿宋_GB2312" w:eastAsia="仿宋_GB2312"/>
          <w:sz w:val="32"/>
          <w:szCs w:val="32"/>
        </w:rPr>
        <w:t>的通知</w:t>
      </w:r>
      <w:r>
        <w:rPr>
          <w:rFonts w:ascii="Times New Roman" w:hAnsi="Times New Roman" w:eastAsia="仿宋_GB2312" w:cs="Times New Roman"/>
          <w:sz w:val="32"/>
          <w:szCs w:val="32"/>
        </w:rPr>
        <w:t>》（柳财农〔2019〕11号）</w:t>
      </w:r>
      <w:r>
        <w:rPr>
          <w:rFonts w:hint="eastAsia" w:ascii="Times New Roman" w:hAnsi="Times New Roman" w:eastAsia="仿宋_GB2312" w:cs="Times New Roman"/>
          <w:sz w:val="32"/>
          <w:szCs w:val="32"/>
          <w:lang w:eastAsia="zh-CN"/>
        </w:rPr>
        <w:t>精神</w:t>
      </w:r>
      <w:r>
        <w:rPr>
          <w:rFonts w:hint="eastAsia" w:ascii="Times New Roman" w:hAnsi="Times New Roman" w:eastAsia="仿宋_GB2312" w:cs="Times New Roman"/>
          <w:sz w:val="32"/>
          <w:szCs w:val="32"/>
        </w:rPr>
        <w:t>，结合我区实际，制定本办法。</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sz w:val="32"/>
          <w:szCs w:val="32"/>
          <w:lang w:val="en-US" w:eastAsia="zh-CN"/>
        </w:rPr>
        <w:t>本办法所称柳州市城中区现代特色农业示范区（园、点）建设补助资金，是指区本级财政预算资金以及上级补助资金，资金专项安排用于支持现代特色农业建设的财政补助资金。</w:t>
      </w:r>
    </w:p>
    <w:p>
      <w:pPr>
        <w:numPr>
          <w:numId w:val="0"/>
        </w:numPr>
        <w:shd w:val="clear" w:color="auto" w:fill="auto"/>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现代特色农业示范区（园、点）建设补助资金管理是指对现代特色农业示范区建设资金预算安排，资金分配和使用管理、监督检查等管理活动。</w:t>
      </w:r>
    </w:p>
    <w:p>
      <w:pPr>
        <w:numPr>
          <w:numId w:val="0"/>
        </w:numPr>
        <w:shd w:val="clear" w:color="auto" w:fill="auto"/>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 xml:space="preserve"> 资金应当围绕现代特色农业示范区（园、点）建设的总体目标统筹安排使用。</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现代特色农业示范区（园、点）建设补助资金按照“市场主导、政府引导、各方参与、分类奖补、公开透明、强化监督”的原则进行管理。本办法所规定的资金项目按照“谁主管，谁负责，谁验收”的原则进行管理和验收。</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财政局负责现代特色农业示范区（园、点）建设资金的预算安排，办理资金分配，监督预算执行，组织政策评估；农业农村局负责提出资金分配建议，对现代特色农业示范区（园、点）建设进行管理，组织验收考评、监督检查</w:t>
      </w:r>
      <w:r>
        <w:rPr>
          <w:rFonts w:hint="eastAsia" w:ascii="仿宋_GB2312" w:hAnsi="仿宋_GB2312" w:eastAsia="仿宋_GB2312" w:cs="仿宋_GB2312"/>
          <w:color w:val="auto"/>
          <w:sz w:val="32"/>
          <w:szCs w:val="32"/>
          <w:lang w:val="en-US" w:eastAsia="zh-CN"/>
        </w:rPr>
        <w:t>和具体项目绩效评价</w:t>
      </w:r>
      <w:r>
        <w:rPr>
          <w:rFonts w:hint="eastAsia" w:ascii="仿宋_GB2312" w:hAnsi="仿宋_GB2312" w:eastAsia="仿宋_GB2312" w:cs="仿宋_GB2312"/>
          <w:sz w:val="32"/>
          <w:szCs w:val="32"/>
          <w:lang w:val="en-US" w:eastAsia="zh-CN"/>
        </w:rPr>
        <w:t>等。各特色农业示范区（园、点）建设主体负责承担项目建设质量、进度、安全、档案管理和资金使用管理的职责；依法组织项目实施；做好项目竣工验收等工作，主动接受和配合检查审计。</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现代特色农业示范区（园、点）建设补助资金用于我区重点创建现代特色农业示范区建设的项目。现代特色农业示范区（园、点）建设补助资金实行以奖代补的分配方式，根据项目建设及组织验收的情况进行</w:t>
      </w:r>
      <w:r>
        <w:rPr>
          <w:rFonts w:hint="eastAsia" w:ascii="仿宋_GB2312" w:hAnsi="仿宋_GB2312" w:eastAsia="仿宋_GB2312" w:cs="仿宋_GB2312"/>
          <w:color w:val="auto"/>
          <w:sz w:val="32"/>
          <w:szCs w:val="32"/>
          <w:lang w:val="en-US" w:eastAsia="zh-CN"/>
        </w:rPr>
        <w:t>分类</w:t>
      </w:r>
      <w:r>
        <w:rPr>
          <w:rFonts w:hint="eastAsia" w:ascii="仿宋_GB2312" w:hAnsi="仿宋_GB2312" w:eastAsia="仿宋_GB2312" w:cs="仿宋_GB2312"/>
          <w:sz w:val="32"/>
          <w:szCs w:val="32"/>
          <w:lang w:val="en-US" w:eastAsia="zh-CN"/>
        </w:rPr>
        <w:t>奖励。</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级示范区的建设标准，认定、晋级的程序和办法等按自治区示范区工作机构印发的文件执行。市县级示范区的建设标准，认定、晋级的程序和办法等，由市级牵头组织相关部门按照有关规定执行。乡村级示范区（园、点），由城区组织相关部门按照有关规定执行。</w:t>
      </w:r>
    </w:p>
    <w:p>
      <w:pPr>
        <w:numPr>
          <w:numId w:val="0"/>
        </w:numP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第八条    </w:t>
      </w:r>
      <w:r>
        <w:rPr>
          <w:rFonts w:hint="eastAsia" w:ascii="仿宋_GB2312" w:hAnsi="仿宋_GB2312" w:eastAsia="仿宋_GB2312" w:cs="仿宋_GB2312"/>
          <w:sz w:val="32"/>
          <w:szCs w:val="32"/>
          <w:lang w:val="en-US" w:eastAsia="zh-CN"/>
        </w:rPr>
        <w:t>现代特色农业示范区（园、点）建设补助资金的使用方向</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sz w:val="32"/>
          <w:szCs w:val="32"/>
          <w:lang w:val="en-US" w:eastAsia="zh-CN"/>
        </w:rPr>
        <w:t>重点向核心片区建设和新型经营主体倾斜，突出支持适度规模经营，拓展农业功能、传承农耕文化、发展休闲农业、</w:t>
      </w:r>
      <w:r>
        <w:rPr>
          <w:rFonts w:hint="eastAsia" w:ascii="仿宋_GB2312" w:hAnsi="仿宋_GB2312" w:eastAsia="仿宋_GB2312" w:cs="仿宋_GB2312"/>
          <w:sz w:val="32"/>
          <w:szCs w:val="32"/>
          <w:shd w:val="clear" w:color="auto" w:fill="auto"/>
          <w:lang w:val="en-US" w:eastAsia="zh-CN"/>
        </w:rPr>
        <w:t>设施农业、田园综合体</w:t>
      </w:r>
      <w:r>
        <w:rPr>
          <w:rFonts w:hint="eastAsia" w:ascii="仿宋_GB2312" w:hAnsi="仿宋_GB2312" w:eastAsia="仿宋_GB2312" w:cs="仿宋_GB2312"/>
          <w:sz w:val="32"/>
          <w:szCs w:val="32"/>
          <w:lang w:val="en-US" w:eastAsia="zh-CN"/>
        </w:rPr>
        <w:t>等新兴业态，促进一二三产业融合发展。</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2"/>
          <w:szCs w:val="32"/>
          <w:lang w:val="en-US" w:eastAsia="zh-CN"/>
        </w:rPr>
        <w:t>支持示范区的经营主体转变农业生产方式、农业经营方式和农业治理方式，加快构建现代农业产业体系、生产体系、经营体系，提高农业创新力、竞争力和全要素生产率，做大做优特色主导产业。</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现代特色农业示范区（园、点）资金的使用范围</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获得认定的示范区（园、点）进行奖励。重点支持核心区农业基础设施建设、农产品加工和冷链物流建设、引进新品种新技术新装备、集成熟化先进适用科技成果，为拓展农业功能、传承农耕文化，发展休闲农业、</w:t>
      </w:r>
      <w:r>
        <w:rPr>
          <w:rFonts w:hint="eastAsia" w:ascii="仿宋_GB2312" w:hAnsi="仿宋_GB2312" w:eastAsia="仿宋_GB2312" w:cs="仿宋_GB2312"/>
          <w:sz w:val="32"/>
          <w:szCs w:val="32"/>
          <w:shd w:val="clear" w:color="auto" w:fill="auto"/>
          <w:lang w:val="en-US" w:eastAsia="zh-CN"/>
        </w:rPr>
        <w:t>设施农业、田园综合体</w:t>
      </w:r>
      <w:r>
        <w:rPr>
          <w:rFonts w:hint="eastAsia" w:ascii="仿宋_GB2312" w:hAnsi="仿宋_GB2312" w:eastAsia="仿宋_GB2312" w:cs="仿宋_GB2312"/>
          <w:sz w:val="32"/>
          <w:szCs w:val="32"/>
          <w:lang w:val="en-US" w:eastAsia="zh-CN"/>
        </w:rPr>
        <w:t>等新型业态而开展的规划设计、基础设施建设，推进农业信息化建设等与现代特色农业示范区（园、点）建设相关的费用支出。</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现代特色农业示范区（园、点）奖励标准</w:t>
      </w:r>
    </w:p>
    <w:p>
      <w:pPr>
        <w:numPr>
          <w:numId w:val="0"/>
        </w:numPr>
        <w:shd w:val="clear" w:color="auto" w:fill="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认定为县级现代特色农业示范区的，按照1:1的比例配套市级的奖励标准给予一次性县级奖励；对新认定为乡级现代特色农业示范园的，按20万元/个标准给予一次性奖励；对新认定为村级现代特色农业示范点的，按10万元/个标准给予一次性进行奖励。</w:t>
      </w:r>
      <w:r>
        <w:rPr>
          <w:rFonts w:hint="eastAsia" w:ascii="Times New Roman" w:hAnsi="Times New Roman" w:eastAsia="仿宋_GB2312" w:cs="Times New Roman"/>
          <w:sz w:val="32"/>
          <w:szCs w:val="32"/>
          <w:shd w:val="clear" w:color="auto" w:fill="auto"/>
          <w:lang w:val="en-US" w:eastAsia="zh-CN"/>
        </w:rPr>
        <w:t xml:space="preserve">奖励资金按照晋级级差进行奖励。即根据晋级后认定级次示范区奖励标准扣减晋级前认定的示范区级次奖励进行奖励。 </w:t>
      </w:r>
    </w:p>
    <w:p>
      <w:pPr>
        <w:numPr>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另外，为争创自治区级现代特色农业示范区重点建设的县、乡、村级现代特色农业示范区（园、点），根据当年项目资金实际投入情况进行适当补助，补助金额原则上不超过当年该项目现金总投资金额的50%（含奖励资金）。项目的验收评定</w:t>
      </w:r>
      <w:r>
        <w:rPr>
          <w:rFonts w:hint="eastAsia" w:ascii="Times New Roman" w:hAnsi="Times New Roman" w:eastAsia="仿宋_GB2312" w:cs="Times New Roman"/>
          <w:sz w:val="32"/>
          <w:szCs w:val="32"/>
          <w:shd w:val="clear" w:color="auto" w:fill="auto"/>
          <w:lang w:val="en-US" w:eastAsia="zh-CN"/>
        </w:rPr>
        <w:t>参照《柳州市农业农村局财政支农项目管理办法（暂行）》（柳农政发</w:t>
      </w:r>
      <w:r>
        <w:rPr>
          <w:rFonts w:ascii="Times New Roman" w:hAnsi="Times New Roman" w:eastAsia="仿宋_GB2312" w:cs="Times New Roman"/>
          <w:sz w:val="32"/>
          <w:szCs w:val="32"/>
          <w:shd w:val="clear" w:color="auto" w:fill="auto"/>
        </w:rPr>
        <w:t>〔2019〕</w:t>
      </w:r>
      <w:r>
        <w:rPr>
          <w:rFonts w:hint="eastAsia" w:ascii="Times New Roman" w:hAnsi="Times New Roman" w:eastAsia="仿宋_GB2312" w:cs="Times New Roman"/>
          <w:sz w:val="32"/>
          <w:szCs w:val="32"/>
          <w:shd w:val="clear" w:color="auto" w:fill="auto"/>
          <w:lang w:val="en-US" w:eastAsia="zh-CN"/>
        </w:rPr>
        <w:t>63号）有关规定执行。</w:t>
      </w:r>
    </w:p>
    <w:p>
      <w:pPr>
        <w:numPr>
          <w:numId w:val="0"/>
        </w:numP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第十一条   </w:t>
      </w:r>
      <w:r>
        <w:rPr>
          <w:rFonts w:hint="eastAsia" w:ascii="仿宋_GB2312" w:hAnsi="仿宋_GB2312" w:eastAsia="仿宋_GB2312" w:cs="仿宋_GB2312"/>
          <w:sz w:val="32"/>
          <w:szCs w:val="32"/>
          <w:lang w:val="en-US" w:eastAsia="zh-CN"/>
        </w:rPr>
        <w:t>现代特色农业示范区（园、点）建设补助资金原则上实行“当年考评认定，当年奖励”的方式安排资金。本级补助资金由财政局按照本级财政预算文件下达。</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现代特色农业示范区（园、点）建设补助资金实行国库集中支付。创建现代特色农业示范区（园、点）建设的项目补助资金应由区财政部门按照财政国库管理制度的有关规定和程序，及时按照报账制流程办理资金拨付手续，</w:t>
      </w:r>
      <w:r>
        <w:rPr>
          <w:rFonts w:hint="eastAsia" w:ascii="仿宋_GB2312" w:hAnsi="仿宋_GB2312" w:eastAsia="仿宋_GB2312" w:cs="仿宋_GB2312"/>
          <w:color w:val="auto"/>
          <w:sz w:val="32"/>
          <w:szCs w:val="32"/>
          <w:lang w:val="en-US" w:eastAsia="zh-CN"/>
        </w:rPr>
        <w:t>项目主管部门</w:t>
      </w:r>
      <w:r>
        <w:rPr>
          <w:rFonts w:hint="eastAsia" w:ascii="仿宋_GB2312" w:hAnsi="仿宋_GB2312" w:eastAsia="仿宋_GB2312" w:cs="仿宋_GB2312"/>
          <w:sz w:val="32"/>
          <w:szCs w:val="32"/>
          <w:lang w:val="en-US" w:eastAsia="zh-CN"/>
        </w:rPr>
        <w:t>做到资金到项目，管理到项目，核算到项目。单独核算，确保专款专用。</w:t>
      </w:r>
    </w:p>
    <w:p>
      <w:pPr>
        <w:numPr>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农业农村局是加快资金支出进度的第一责任主体，应及时掌握现代特色农业示范区（园、点）建设补助资金支付情况，督促各级示范区项目实施单位按照合同约定完成项目施工。</w:t>
      </w:r>
      <w:r>
        <w:rPr>
          <w:rFonts w:hint="eastAsia" w:ascii="仿宋_GB2312" w:hAnsi="仿宋_GB2312" w:eastAsia="仿宋_GB2312" w:cs="仿宋_GB2312"/>
          <w:color w:val="auto"/>
          <w:sz w:val="32"/>
          <w:szCs w:val="32"/>
          <w:lang w:val="en-US" w:eastAsia="zh-CN"/>
        </w:rPr>
        <w:t>奖励资金全部用于该获认定的</w:t>
      </w:r>
      <w:r>
        <w:rPr>
          <w:rFonts w:hint="eastAsia" w:ascii="Times New Roman" w:hAnsi="Times New Roman" w:eastAsia="仿宋_GB2312" w:cs="Times New Roman"/>
          <w:color w:val="auto"/>
          <w:sz w:val="32"/>
          <w:szCs w:val="32"/>
          <w:lang w:val="en-US" w:eastAsia="zh-CN"/>
        </w:rPr>
        <w:t>县、乡、村级现代特色农业示范区（园、点）建设。</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原始凭证等项目支出有效证明材料原件由项目主管部门按规定保管，并作为会计核算的依据。主管部门应当建立项目资金申请拨付台账，并对项目实施单位申请款项时提交的原始凭证原件经验证后复印留存，以备查验。    </w:t>
      </w:r>
    </w:p>
    <w:p>
      <w:pPr>
        <w:numPr>
          <w:numId w:val="0"/>
        </w:numPr>
        <w:ind w:firstLine="640" w:firstLineChars="200"/>
        <w:rPr>
          <w:rFonts w:hint="eastAsia" w:ascii="仿宋_GB2312" w:hAnsi="仿宋_GB2312" w:eastAsia="仿宋_GB2312" w:cs="仿宋_GB2312"/>
          <w:sz w:val="32"/>
          <w:szCs w:val="32"/>
          <w:shd w:val="clear" w:color="auto" w:fill="FFFF99"/>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现代特色农业示范区（园、点）建设补助资金在足额兑付当年认定的各级示范区（园、点）奖励资金后，结余资金由财政局、农业农村局统筹安排并报区政府分管农业领导审批后</w:t>
      </w:r>
      <w:r>
        <w:rPr>
          <w:rFonts w:hint="eastAsia" w:ascii="仿宋_GB2312" w:hAnsi="仿宋_GB2312" w:eastAsia="仿宋_GB2312" w:cs="仿宋_GB2312"/>
          <w:color w:val="auto"/>
          <w:sz w:val="32"/>
          <w:szCs w:val="32"/>
          <w:lang w:val="en-US" w:eastAsia="zh-CN"/>
        </w:rPr>
        <w:t>优先</w:t>
      </w:r>
      <w:r>
        <w:rPr>
          <w:rFonts w:hint="eastAsia" w:ascii="仿宋_GB2312" w:hAnsi="仿宋_GB2312" w:eastAsia="仿宋_GB2312" w:cs="仿宋_GB2312"/>
          <w:sz w:val="32"/>
          <w:szCs w:val="32"/>
          <w:lang w:val="en-US" w:eastAsia="zh-CN"/>
        </w:rPr>
        <w:t>用于支持农业项目建设。</w:t>
      </w:r>
    </w:p>
    <w:p>
      <w:pPr>
        <w:numPr>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项目实行绩效评价制度。农业农村局对项目实施情况组织开展绩效评价，并将项目绩效评价结果相关材料报财政局备案。绩效评价结果包括评价报告、指标评分表及有关佐证材料。</w:t>
      </w:r>
      <w:r>
        <w:rPr>
          <w:rFonts w:hint="eastAsia" w:ascii="仿宋_GB2312" w:hAnsi="仿宋_GB2312" w:eastAsia="仿宋_GB2312" w:cs="仿宋_GB2312"/>
          <w:color w:val="auto"/>
          <w:sz w:val="32"/>
          <w:szCs w:val="32"/>
          <w:lang w:val="en-US" w:eastAsia="zh-CN"/>
        </w:rPr>
        <w:t>项目实行绩效考核，农业农村局在向财政局申请安排下一年度农业示范区建设资金预算时，要按预算绩效管理的相关规定设置可量化、可衡量的预算绩效目标。</w:t>
      </w:r>
    </w:p>
    <w:p>
      <w:pPr>
        <w:numPr>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第十七条     项目实行绩效评价制度。农业农村局对项目实施情况组织开展绩效评价，并对项目绩效评价结果相关材料报财政局备案。绩效评价结果包括评价报告、指标评分表及有关佐证材料。</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农业农村局负责加强对现代特色农业示范区（园、点）建设补助资金情况的监督检查，及时发现和纠正存在的问题。财政局负责会同有关业务主管部门加强资金管理、绩效评价和监督检查，总结资金管理使用情况，提高资金使用效益，同时要主动配合审计部门和纪检监察部门开展审计监督和日常监督，主动接受社会监督。</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对于截留、挤占、挪用和骗取补助资金的违法行为，一经查实，财政局将收回已安排的补助资金，并按照《财政违法行为处罚处分条例》等国家有关法律法规的规定处理，涉嫌犯罪的，依法移送司法机关。对项目实施单位和个人，有严重违规违纪行为或造成资金重大损失浪费的，依法依规追究责任。</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本办法由财政局会同农业农村局负责解释。</w:t>
      </w:r>
    </w:p>
    <w:p>
      <w:pPr>
        <w:numPr>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本办法自印发之日起实施。</w:t>
      </w:r>
    </w:p>
    <w:p>
      <w:pPr>
        <w:numPr>
          <w:numId w:val="0"/>
        </w:numPr>
        <w:ind w:firstLine="640" w:firstLineChars="200"/>
        <w:rPr>
          <w:rFonts w:hint="eastAsia" w:ascii="仿宋_GB2312" w:hAnsi="仿宋_GB2312" w:eastAsia="仿宋_GB2312" w:cs="仿宋_GB2312"/>
          <w:sz w:val="32"/>
          <w:szCs w:val="32"/>
          <w:lang w:val="en-US" w:eastAsia="zh-CN"/>
        </w:rPr>
      </w:pPr>
    </w:p>
    <w:p>
      <w:pPr>
        <w:numPr>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numPr>
          <w:numId w:val="0"/>
        </w:numPr>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p>
    <w:p>
      <w:pPr>
        <w:numPr>
          <w:numId w:val="0"/>
        </w:numPr>
        <w:ind w:firstLine="640" w:firstLineChars="200"/>
        <w:rPr>
          <w:rFonts w:hint="eastAsia" w:ascii="仿宋_GB2312" w:hAnsi="仿宋_GB2312" w:eastAsia="仿宋_GB2312" w:cs="仿宋_GB2312"/>
          <w:sz w:val="32"/>
          <w:szCs w:val="32"/>
          <w:lang w:val="en-US" w:eastAsia="zh-CN"/>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376FB"/>
    <w:rsid w:val="00091155"/>
    <w:rsid w:val="001376FB"/>
    <w:rsid w:val="00430200"/>
    <w:rsid w:val="006D496B"/>
    <w:rsid w:val="008F3DFE"/>
    <w:rsid w:val="00960100"/>
    <w:rsid w:val="00B76B4A"/>
    <w:rsid w:val="013144CC"/>
    <w:rsid w:val="018637F7"/>
    <w:rsid w:val="02CE3A29"/>
    <w:rsid w:val="0AE745DB"/>
    <w:rsid w:val="109E1350"/>
    <w:rsid w:val="10DA3734"/>
    <w:rsid w:val="172B757C"/>
    <w:rsid w:val="173D342E"/>
    <w:rsid w:val="1A792535"/>
    <w:rsid w:val="1CDC64D7"/>
    <w:rsid w:val="1D4F7EA6"/>
    <w:rsid w:val="221A5500"/>
    <w:rsid w:val="2A930168"/>
    <w:rsid w:val="2EF85E1E"/>
    <w:rsid w:val="32421A20"/>
    <w:rsid w:val="35D41F5E"/>
    <w:rsid w:val="36214A21"/>
    <w:rsid w:val="36333363"/>
    <w:rsid w:val="3D3675FD"/>
    <w:rsid w:val="3D5742AE"/>
    <w:rsid w:val="3DC765D3"/>
    <w:rsid w:val="3FA00970"/>
    <w:rsid w:val="4125656E"/>
    <w:rsid w:val="439C027C"/>
    <w:rsid w:val="44531FA9"/>
    <w:rsid w:val="44CE606F"/>
    <w:rsid w:val="48CC307C"/>
    <w:rsid w:val="48EA1F5A"/>
    <w:rsid w:val="4A7111AE"/>
    <w:rsid w:val="4EDA3C8B"/>
    <w:rsid w:val="50B576FA"/>
    <w:rsid w:val="564D2AFA"/>
    <w:rsid w:val="57943632"/>
    <w:rsid w:val="58471C18"/>
    <w:rsid w:val="5CF13A30"/>
    <w:rsid w:val="5E0829D9"/>
    <w:rsid w:val="5E8B3F69"/>
    <w:rsid w:val="60937300"/>
    <w:rsid w:val="60EC3AC5"/>
    <w:rsid w:val="63005F01"/>
    <w:rsid w:val="63061303"/>
    <w:rsid w:val="63AA400F"/>
    <w:rsid w:val="6C714A1D"/>
    <w:rsid w:val="6CCD168F"/>
    <w:rsid w:val="6EAB2E1E"/>
    <w:rsid w:val="6EAB66A1"/>
    <w:rsid w:val="750710E2"/>
    <w:rsid w:val="75814515"/>
    <w:rsid w:val="762F451C"/>
    <w:rsid w:val="778B2EAC"/>
    <w:rsid w:val="797F1F6E"/>
    <w:rsid w:val="7AA75347"/>
    <w:rsid w:val="7AB3115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Style w:val="4"/>
      <w:tblLayout w:type="fixed"/>
      <w:tblCellMar>
        <w:top w:w="0" w:type="dxa"/>
        <w:left w:w="108" w:type="dxa"/>
        <w:bottom w:w="0" w:type="dxa"/>
        <w:right w:w="108" w:type="dxa"/>
      </w:tblCellMar>
    </w:tblPr>
    <w:tcPr>
      <w:textDirection w:val="lrTb"/>
    </w:tcPr>
  </w:style>
  <w:style w:type="paragraph" w:styleId="2">
    <w:name w:val="annotation text"/>
    <w:basedOn w:val="1"/>
    <w:unhideWhenUsed/>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Words>
  <Characters>177</Characters>
  <Lines>1</Lines>
  <Paragraphs>1</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2022-01-06T01:18:00Z</dcterms:created>
  <dc:creator>Administrator</dc:creator>
  <cp:lastModifiedBy>Administrator</cp:lastModifiedBy>
  <cp:lastPrinted>2022-02-15T01:08:00Z</cp:lastPrinted>
  <dcterms:modified xsi:type="dcterms:W3CDTF">2022-05-30T00:54:10Z</dcterms:modified>
  <dc:title>关于印发《柳州市城中区特色农业现代化示范区建设补助资金管理办法》的通知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