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Arial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Arial"/>
          <w:color w:val="000000"/>
          <w:sz w:val="32"/>
          <w:szCs w:val="32"/>
          <w:shd w:val="clear" w:color="auto" w:fill="FFFFFF"/>
        </w:rPr>
        <w:t>附件1</w:t>
      </w:r>
    </w:p>
    <w:p>
      <w:pPr>
        <w:spacing w:line="560" w:lineRule="exact"/>
        <w:jc w:val="center"/>
        <w:rPr>
          <w:rFonts w:hint="eastAsia" w:ascii="方正小标宋简体" w:hAnsi="黑体" w:eastAsia="方正小标宋简体" w:cs="宋体"/>
          <w:kern w:val="0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黑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宋体"/>
          <w:kern w:val="0"/>
          <w:sz w:val="44"/>
          <w:szCs w:val="44"/>
        </w:rPr>
        <w:t>符合申报</w:t>
      </w:r>
      <w:r>
        <w:rPr>
          <w:rFonts w:hint="eastAsia" w:ascii="方正小标宋简体" w:hAnsi="黑体" w:eastAsia="方正小标宋简体" w:cs="宋体"/>
          <w:kern w:val="0"/>
          <w:sz w:val="44"/>
          <w:szCs w:val="44"/>
          <w:lang w:eastAsia="zh-CN"/>
        </w:rPr>
        <w:t>就业见习生活</w:t>
      </w:r>
      <w:r>
        <w:rPr>
          <w:rFonts w:hint="eastAsia" w:ascii="方正小标宋简体" w:hAnsi="黑体" w:eastAsia="方正小标宋简体" w:cs="宋体"/>
          <w:kern w:val="0"/>
          <w:sz w:val="44"/>
          <w:szCs w:val="44"/>
        </w:rPr>
        <w:t>补贴条件</w:t>
      </w:r>
    </w:p>
    <w:p>
      <w:pPr>
        <w:spacing w:line="560" w:lineRule="exact"/>
        <w:ind w:firstLine="640" w:firstLineChars="200"/>
        <w:rPr>
          <w:rFonts w:hint="eastAsia" w:eastAsia="仿宋_GB2312" w:cs="Arial"/>
          <w:color w:val="00000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eastAsia="仿宋_GB2312"/>
          <w:color w:val="000000"/>
          <w:sz w:val="32"/>
          <w:szCs w:val="32"/>
          <w:shd w:val="clear" w:color="auto" w:fill="FFFFFF"/>
          <w:lang w:val="en-US" w:eastAsia="zh-CN"/>
        </w:rPr>
        <w:t>毕业学年的全日制普通高等院校毕业生（含非全日制研究生，同下）、中职院校（含技工院校，同下）毕业生、离校2年内未就业的全日制普通高等院校、中职院校毕业生。</w:t>
      </w:r>
      <w:bookmarkStart w:id="0" w:name="_GoBack"/>
      <w:bookmarkEnd w:id="0"/>
      <w:r>
        <w:rPr>
          <w:rFonts w:hint="eastAsia" w:eastAsia="仿宋_GB2312"/>
          <w:color w:val="000000"/>
          <w:sz w:val="32"/>
          <w:szCs w:val="32"/>
          <w:shd w:val="clear" w:color="auto" w:fill="FFFFFF"/>
          <w:lang w:val="en-US" w:eastAsia="zh-CN"/>
        </w:rPr>
        <w:t>未就业指参加就业见习时处于未就业状态，当下未以企业职工身份参加社会保险、16-24岁持《就业创业证》的已登记失业青年吸收以上人群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，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  <w:lang w:eastAsia="zh-CN"/>
        </w:rPr>
        <w:t>并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在我市辖区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  <w:lang w:eastAsia="zh-CN"/>
        </w:rPr>
        <w:t>认定为就业见习基地的企业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，按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  <w:lang w:val="en-US" w:eastAsia="zh-CN"/>
        </w:rPr>
        <w:t>1500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元/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  <w:lang w:eastAsia="zh-CN"/>
        </w:rPr>
        <w:t>人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  <w:lang w:val="en-US" w:eastAsia="zh-CN"/>
        </w:rPr>
        <w:t>·月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的标准给予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  <w:lang w:eastAsia="zh-CN"/>
        </w:rPr>
        <w:t>就业见习生活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9B1F57"/>
    <w:rsid w:val="119B1F57"/>
    <w:rsid w:val="448871F8"/>
    <w:rsid w:val="640F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2020-11-30T08:08:00Z</dcterms:created>
  <dc:creator>木杨</dc:creator>
  <cp:lastModifiedBy>木杨</cp:lastModifiedBy>
  <dcterms:modified xsi:type="dcterms:W3CDTF">2020-11-30T08:31:25Z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