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100" w:lineRule="exact"/>
        <w:jc w:val="center"/>
        <w:rPr>
          <w:rFonts w:hint="eastAsia" w:eastAsia="方正小标宋简体"/>
          <w:color w:val="FF0000"/>
          <w:spacing w:val="100"/>
          <w:kern w:val="0"/>
          <w:sz w:val="52"/>
          <w:szCs w:val="52"/>
        </w:rPr>
      </w:pPr>
      <w:r>
        <w:rPr>
          <w:rFonts w:eastAsia="方正小标宋简体"/>
          <w:color w:val="FF0000"/>
          <w:spacing w:val="100"/>
          <w:kern w:val="0"/>
          <w:sz w:val="52"/>
          <w:szCs w:val="52"/>
        </w:rPr>
        <w:t>广西壮族自治区</w:t>
      </w:r>
      <w:r>
        <w:rPr>
          <w:rFonts w:hint="eastAsia" w:eastAsia="方正小标宋简体"/>
          <w:color w:val="FF0000"/>
          <w:spacing w:val="100"/>
          <w:kern w:val="0"/>
          <w:sz w:val="52"/>
          <w:szCs w:val="52"/>
        </w:rPr>
        <w:t>柳州市</w:t>
      </w:r>
    </w:p>
    <w:p>
      <w:pPr>
        <w:spacing w:line="1100" w:lineRule="exact"/>
        <w:jc w:val="center"/>
        <w:rPr>
          <w:rFonts w:eastAsia="方正小标宋简体"/>
          <w:color w:val="FF0000"/>
          <w:spacing w:val="100"/>
          <w:kern w:val="11"/>
          <w:sz w:val="64"/>
          <w:szCs w:val="64"/>
        </w:rPr>
      </w:pPr>
      <w:r>
        <w:rPr>
          <w:rFonts w:hint="eastAsia" w:eastAsia="方正小标宋简体"/>
          <w:color w:val="FF0000"/>
          <w:spacing w:val="100"/>
          <w:kern w:val="0"/>
          <w:sz w:val="64"/>
          <w:szCs w:val="64"/>
        </w:rPr>
        <w:t>城中区</w:t>
      </w:r>
      <w:r>
        <w:rPr>
          <w:rFonts w:eastAsia="方正小标宋简体"/>
          <w:color w:val="FF0000"/>
          <w:spacing w:val="140"/>
          <w:kern w:val="0"/>
          <w:sz w:val="64"/>
          <w:szCs w:val="64"/>
        </w:rPr>
        <w:t>民政</w:t>
      </w:r>
      <w:r>
        <w:rPr>
          <w:rFonts w:hint="eastAsia" w:eastAsia="方正小标宋简体"/>
          <w:color w:val="FF0000"/>
          <w:spacing w:val="140"/>
          <w:kern w:val="0"/>
          <w:sz w:val="64"/>
          <w:szCs w:val="64"/>
        </w:rPr>
        <w:t>局</w:t>
      </w:r>
      <w:r>
        <w:rPr>
          <w:rFonts w:eastAsia="方正小标宋简体"/>
          <w:color w:val="FF0000"/>
          <w:spacing w:val="140"/>
          <w:sz w:val="64"/>
          <w:szCs w:val="64"/>
        </w:rPr>
        <w:t>文件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-208915</wp:posOffset>
                </wp:positionH>
                <wp:positionV relativeFrom="paragraph">
                  <wp:posOffset>181610</wp:posOffset>
                </wp:positionV>
                <wp:extent cx="5715000" cy="635"/>
                <wp:effectExtent l="0" t="19050" r="0" b="3746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63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6.45pt;margin-top:14.3pt;height:0.05pt;width:450pt;z-index:251659264;mso-width-relative:page;mso-height-relative:page;" filled="f" stroked="t" coordsize="21600,21600" o:gfxdata="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EAja7cAAAACQEAAA8AAAAAAAAAAQAgAAAAIgAAAGRycy9kb3ducmV2&#10;LnhtbFBLAQIUABQAAAAIAIdO4kC9mALo+AEAAOcDAAAOAAAAAAAAAAEAIAAAACsBAABkcnMvZTJv&#10;RG9jLnhtbFBLBQYAAAAABgAGAFkBAACVBQAAAAA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/>
        </w:rPr>
        <w:t xml:space="preserve">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 xml:space="preserve">柳州市城中区民政局行政处罚听证通知书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城中民罚听通〔2023〕1号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柳州市城中区牛津文源华都幼儿园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根据你（单位）提出的听证要求，本机关决定于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2023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年 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月16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16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00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分，在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河东管理大厦512室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</w:rPr>
        <w:t>柳州市城中区牛津文源华都幼儿园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eastAsia="zh-CN"/>
        </w:rPr>
        <w:t>涉嫌连续两年年检不合格拟进行行政处罚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eastAsia="zh-CN"/>
        </w:rPr>
        <w:t>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案举行听证。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本次听证由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郑蔼新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担任听证主持人。根据《中华人民共和国行政处罚法》第六十四第（四）项的规定，你（单位）有权申请听证主持人回避。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请你（单位）法定代表人或者委托代理人凭本通知准时参加。无正当理由缺席，视为放弃听证权利。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联系人：文衍妮           联系电话：0772-2858926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柳州市城中区民政局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2023年2月7日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B09E7"/>
    <w:rsid w:val="063F3C26"/>
    <w:rsid w:val="08940CC2"/>
    <w:rsid w:val="0F470D9F"/>
    <w:rsid w:val="14084F63"/>
    <w:rsid w:val="19B60493"/>
    <w:rsid w:val="1F090B96"/>
    <w:rsid w:val="212A205B"/>
    <w:rsid w:val="313A4E4C"/>
    <w:rsid w:val="35AF63B9"/>
    <w:rsid w:val="3DE16121"/>
    <w:rsid w:val="3F3512C1"/>
    <w:rsid w:val="41E975B0"/>
    <w:rsid w:val="4C781903"/>
    <w:rsid w:val="5F685B6F"/>
    <w:rsid w:val="61A30380"/>
    <w:rsid w:val="67820C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cp:lastPrinted>2023-02-07T03:16:18Z</cp:lastPrinted>
  <dcterms:modified xsi:type="dcterms:W3CDTF">2023-02-07T03:16:38Z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3174C2195C744721AB0151C10392944C</vt:lpwstr>
  </property>
</Properties>
</file>