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城中区市场监督管理局</w:t>
      </w: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执法主体及工作职责</w:t>
      </w:r>
    </w:p>
    <w:p>
      <w:pPr>
        <w:keepNext w:val="0"/>
        <w:keepLines w:val="0"/>
        <w:pageBreakBefore w:val="0"/>
        <w:widowControl/>
        <w:numPr>
          <w:ilvl w:val="0"/>
          <w:numId w:val="0"/>
        </w:numPr>
        <w:kinsoku/>
        <w:wordWrap/>
        <w:overflowPunct/>
        <w:topLinePunct w:val="0"/>
        <w:autoSpaceDE/>
        <w:autoSpaceDN/>
        <w:bidi w:val="0"/>
        <w:adjustRightInd/>
        <w:snapToGrid/>
        <w:spacing w:line="640" w:lineRule="exact"/>
        <w:ind w:leftChars="0"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lang w:eastAsia="zh-CN"/>
        </w:rPr>
      </w:pPr>
      <w:r>
        <w:rPr>
          <w:rFonts w:hint="eastAsia" w:ascii="仿宋_GB2312" w:hAnsi="仿宋_GB2312" w:eastAsia="仿宋_GB2312" w:cs="仿宋_GB2312"/>
          <w:b w:val="0"/>
          <w:bCs w:val="0"/>
          <w:color w:val="000000"/>
          <w:kern w:val="0"/>
          <w:sz w:val="32"/>
          <w:szCs w:val="32"/>
          <w:lang w:val="en-US" w:eastAsia="zh-CN" w:bidi="ar"/>
        </w:rPr>
        <w:t>区市场监督管理局是区人民政府工作部门，为正科级，</w:t>
      </w:r>
      <w:r>
        <w:rPr>
          <w:rFonts w:hint="eastAsia" w:ascii="仿宋_GB2312" w:hAnsi="仿宋_GB2312" w:eastAsia="仿宋_GB2312" w:cs="仿宋_GB2312"/>
          <w:b w:val="0"/>
          <w:bCs w:val="0"/>
          <w:sz w:val="32"/>
          <w:szCs w:val="32"/>
        </w:rPr>
        <w:t>具有行政执法主体资格</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color w:val="000000"/>
          <w:kern w:val="0"/>
          <w:sz w:val="32"/>
          <w:szCs w:val="32"/>
          <w:lang w:val="en-US" w:eastAsia="zh-CN" w:bidi="ar"/>
        </w:rPr>
        <w:t>加挂区知识产权局牌子，加挂区市场监督管理执法稽查大队牌子，实行“局队合一”体制。在履行职责过程中坚持和加强党对市场监督管理工作的集中统一领导。承担法律法规明确要求县区级承担的市场监管和综合行政执法职责，以区市场监督管理局名义统一执法。负责查处需县区级部门立案查处的案件及上级部门指定管辖的案件，承办转交的投诉举报事项。城中区市场监督管理局内设一个办公室、五个业务股室、一个信息中心、一个执法中队，即</w:t>
      </w:r>
      <w:r>
        <w:rPr>
          <w:rFonts w:hint="eastAsia" w:ascii="仿宋_GB2312" w:hAnsi="仿宋_GB2312" w:eastAsia="仿宋_GB2312" w:cs="仿宋_GB2312"/>
          <w:b w:val="0"/>
          <w:bCs w:val="0"/>
          <w:color w:val="auto"/>
          <w:kern w:val="0"/>
          <w:sz w:val="32"/>
          <w:szCs w:val="32"/>
        </w:rPr>
        <w:t>办公室</w:t>
      </w:r>
      <w:r>
        <w:rPr>
          <w:rFonts w:hint="eastAsia" w:ascii="仿宋_GB2312" w:hAnsi="仿宋_GB2312" w:eastAsia="仿宋_GB2312" w:cs="仿宋_GB2312"/>
          <w:b w:val="0"/>
          <w:bCs w:val="0"/>
          <w:color w:val="auto"/>
          <w:kern w:val="0"/>
          <w:sz w:val="32"/>
          <w:szCs w:val="32"/>
          <w:lang w:eastAsia="zh-CN"/>
        </w:rPr>
        <w:t>、审批登记</w:t>
      </w:r>
      <w:r>
        <w:rPr>
          <w:rFonts w:hint="eastAsia" w:ascii="仿宋_GB2312" w:hAnsi="仿宋_GB2312" w:eastAsia="仿宋_GB2312" w:cs="仿宋_GB2312"/>
          <w:b w:val="0"/>
          <w:bCs w:val="0"/>
          <w:color w:val="auto"/>
          <w:kern w:val="0"/>
          <w:sz w:val="32"/>
          <w:szCs w:val="32"/>
        </w:rPr>
        <w:t>股</w:t>
      </w:r>
      <w:r>
        <w:rPr>
          <w:rFonts w:hint="eastAsia" w:ascii="仿宋_GB2312" w:hAnsi="仿宋_GB2312" w:eastAsia="仿宋_GB2312" w:cs="仿宋_GB2312"/>
          <w:b w:val="0"/>
          <w:bCs w:val="0"/>
          <w:color w:val="auto"/>
          <w:kern w:val="0"/>
          <w:sz w:val="32"/>
          <w:szCs w:val="32"/>
          <w:lang w:eastAsia="zh-CN"/>
        </w:rPr>
        <w:t>、</w:t>
      </w:r>
      <w:r>
        <w:rPr>
          <w:rFonts w:hint="eastAsia" w:ascii="仿宋_GB2312" w:hAnsi="仿宋_GB2312" w:eastAsia="仿宋_GB2312" w:cs="仿宋_GB2312"/>
          <w:b w:val="0"/>
          <w:bCs w:val="0"/>
          <w:color w:val="auto"/>
          <w:sz w:val="32"/>
          <w:szCs w:val="32"/>
          <w:lang w:val="en-US" w:eastAsia="zh-CN"/>
        </w:rPr>
        <w:t>食品股、</w:t>
      </w:r>
      <w:r>
        <w:rPr>
          <w:rFonts w:hint="eastAsia" w:ascii="仿宋_GB2312" w:hAnsi="仿宋_GB2312" w:eastAsia="仿宋_GB2312" w:cs="仿宋_GB2312"/>
          <w:b w:val="0"/>
          <w:bCs w:val="0"/>
          <w:sz w:val="32"/>
          <w:szCs w:val="32"/>
          <w:lang w:eastAsia="zh-CN"/>
        </w:rPr>
        <w:t>药械化股、产品质量股、</w:t>
      </w:r>
      <w:r>
        <w:rPr>
          <w:rFonts w:hint="eastAsia" w:ascii="仿宋_GB2312" w:hAnsi="仿宋_GB2312" w:eastAsia="仿宋_GB2312" w:cs="仿宋_GB2312"/>
          <w:b w:val="0"/>
          <w:bCs w:val="0"/>
          <w:color w:val="auto"/>
          <w:kern w:val="0"/>
          <w:sz w:val="32"/>
          <w:szCs w:val="32"/>
          <w:lang w:eastAsia="zh-CN"/>
        </w:rPr>
        <w:t>法规股、</w:t>
      </w:r>
      <w:r>
        <w:rPr>
          <w:rFonts w:hint="eastAsia" w:ascii="仿宋_GB2312" w:hAnsi="仿宋_GB2312" w:eastAsia="仿宋_GB2312" w:cs="仿宋_GB2312"/>
          <w:b w:val="0"/>
          <w:bCs w:val="0"/>
          <w:color w:val="auto"/>
          <w:kern w:val="0"/>
          <w:sz w:val="32"/>
          <w:szCs w:val="32"/>
          <w:lang w:val="en-US" w:eastAsia="zh-CN"/>
        </w:rPr>
        <w:t>信息中心、</w:t>
      </w:r>
      <w:r>
        <w:rPr>
          <w:rFonts w:hint="eastAsia" w:ascii="仿宋_GB2312" w:hAnsi="仿宋_GB2312" w:eastAsia="仿宋_GB2312" w:cs="仿宋_GB2312"/>
          <w:b w:val="0"/>
          <w:bCs w:val="0"/>
          <w:color w:val="auto"/>
          <w:sz w:val="32"/>
          <w:szCs w:val="32"/>
          <w:lang w:val="en-US" w:eastAsia="zh-CN"/>
        </w:rPr>
        <w:t>综合执法中队。</w:t>
      </w:r>
    </w:p>
    <w:p>
      <w:pPr>
        <w:keepNext w:val="0"/>
        <w:keepLines w:val="0"/>
        <w:pageBreakBefore w:val="0"/>
        <w:widowControl/>
        <w:numPr>
          <w:ilvl w:val="0"/>
          <w:numId w:val="1"/>
        </w:numPr>
        <w:kinsoku/>
        <w:wordWrap/>
        <w:overflowPunct/>
        <w:topLinePunct w:val="0"/>
        <w:autoSpaceDE/>
        <w:autoSpaceDN/>
        <w:bidi w:val="0"/>
        <w:adjustRightInd/>
        <w:snapToGrid/>
        <w:spacing w:line="640" w:lineRule="exact"/>
        <w:ind w:leftChars="0" w:right="0" w:rightChars="0" w:firstLine="640" w:firstLineChars="200"/>
        <w:jc w:val="both"/>
        <w:textAlignment w:val="auto"/>
        <w:outlineLvl w:val="9"/>
        <w:rPr>
          <w:rFonts w:hint="eastAsia" w:ascii="黑体" w:hAnsi="黑体" w:eastAsia="黑体" w:cs="黑体"/>
          <w:b w:val="0"/>
          <w:bCs w:val="0"/>
          <w:color w:val="auto"/>
          <w:kern w:val="0"/>
          <w:sz w:val="32"/>
          <w:szCs w:val="32"/>
          <w:lang w:eastAsia="zh-CN"/>
        </w:rPr>
      </w:pPr>
      <w:r>
        <w:rPr>
          <w:rFonts w:hint="eastAsia" w:ascii="黑体" w:hAnsi="黑体" w:eastAsia="黑体" w:cs="黑体"/>
          <w:b w:val="0"/>
          <w:bCs w:val="0"/>
          <w:color w:val="auto"/>
          <w:kern w:val="0"/>
          <w:sz w:val="32"/>
          <w:szCs w:val="32"/>
          <w:lang w:eastAsia="zh-CN"/>
        </w:rPr>
        <w:t>执法主体</w:t>
      </w:r>
    </w:p>
    <w:p>
      <w:pPr>
        <w:keepNext w:val="0"/>
        <w:keepLines w:val="0"/>
        <w:pageBreakBefore w:val="0"/>
        <w:widowControl/>
        <w:numPr>
          <w:ilvl w:val="0"/>
          <w:numId w:val="0"/>
        </w:numPr>
        <w:kinsoku/>
        <w:wordWrap/>
        <w:overflowPunct/>
        <w:topLinePunct w:val="0"/>
        <w:autoSpaceDE/>
        <w:autoSpaceDN/>
        <w:bidi w:val="0"/>
        <w:adjustRightInd/>
        <w:snapToGrid/>
        <w:spacing w:line="640" w:lineRule="exact"/>
        <w:ind w:leftChars="200" w:right="0" w:rightChars="0"/>
        <w:jc w:val="both"/>
        <w:textAlignment w:val="auto"/>
        <w:outlineLvl w:val="9"/>
        <w:rPr>
          <w:rFonts w:hint="eastAsia" w:ascii="仿宋_GB2312" w:hAnsi="仿宋_GB2312" w:eastAsia="仿宋_GB2312" w:cs="仿宋_GB2312"/>
          <w:b w:val="0"/>
          <w:bCs w:val="0"/>
          <w:color w:val="auto"/>
          <w:kern w:val="0"/>
          <w:sz w:val="32"/>
          <w:szCs w:val="32"/>
          <w:lang w:eastAsia="zh-CN"/>
        </w:rPr>
      </w:pPr>
      <w:r>
        <w:rPr>
          <w:rFonts w:hint="eastAsia" w:ascii="仿宋_GB2312" w:hAnsi="仿宋_GB2312" w:eastAsia="仿宋_GB2312" w:cs="仿宋_GB2312"/>
          <w:b w:val="0"/>
          <w:bCs w:val="0"/>
          <w:color w:val="auto"/>
          <w:kern w:val="0"/>
          <w:sz w:val="32"/>
          <w:szCs w:val="32"/>
          <w:lang w:eastAsia="zh-CN"/>
        </w:rPr>
        <w:t>（一）</w:t>
      </w:r>
      <w:r>
        <w:rPr>
          <w:rFonts w:hint="eastAsia" w:ascii="仿宋_GB2312" w:hAnsi="仿宋_GB2312" w:eastAsia="仿宋_GB2312" w:cs="仿宋_GB2312"/>
          <w:b w:val="0"/>
          <w:bCs w:val="0"/>
          <w:color w:val="auto"/>
          <w:kern w:val="0"/>
          <w:sz w:val="32"/>
          <w:szCs w:val="32"/>
        </w:rPr>
        <w:t>办公室</w:t>
      </w:r>
      <w:r>
        <w:rPr>
          <w:rFonts w:hint="eastAsia" w:ascii="仿宋_GB2312" w:hAnsi="仿宋_GB2312" w:eastAsia="仿宋_GB2312" w:cs="仿宋_GB2312"/>
          <w:b w:val="0"/>
          <w:bCs w:val="0"/>
          <w:color w:val="auto"/>
          <w:kern w:val="0"/>
          <w:sz w:val="32"/>
          <w:szCs w:val="32"/>
          <w:lang w:eastAsia="zh-CN"/>
        </w:rPr>
        <w:t>（含财务室）</w:t>
      </w:r>
    </w:p>
    <w:p>
      <w:pPr>
        <w:keepNext w:val="0"/>
        <w:keepLines w:val="0"/>
        <w:pageBreakBefore w:val="0"/>
        <w:widowControl/>
        <w:numPr>
          <w:ilvl w:val="0"/>
          <w:numId w:val="0"/>
        </w:numPr>
        <w:kinsoku/>
        <w:wordWrap/>
        <w:overflowPunct/>
        <w:topLinePunct w:val="0"/>
        <w:autoSpaceDE/>
        <w:autoSpaceDN/>
        <w:bidi w:val="0"/>
        <w:adjustRightInd/>
        <w:snapToGrid/>
        <w:spacing w:line="64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lang w:eastAsia="zh-CN"/>
        </w:rPr>
      </w:pPr>
      <w:r>
        <w:rPr>
          <w:rFonts w:hint="eastAsia" w:ascii="仿宋_GB2312" w:hAnsi="仿宋_GB2312" w:eastAsia="仿宋_GB2312" w:cs="仿宋_GB2312"/>
          <w:b w:val="0"/>
          <w:bCs w:val="0"/>
          <w:color w:val="auto"/>
          <w:kern w:val="0"/>
          <w:sz w:val="32"/>
          <w:szCs w:val="32"/>
          <w:lang w:eastAsia="zh-CN"/>
        </w:rPr>
        <w:t>办公室：</w:t>
      </w:r>
      <w:r>
        <w:rPr>
          <w:rFonts w:hint="eastAsia" w:ascii="仿宋_GB2312" w:hAnsi="仿宋_GB2312" w:eastAsia="仿宋_GB2312" w:cs="仿宋_GB2312"/>
          <w:b w:val="0"/>
          <w:bCs w:val="0"/>
          <w:color w:val="auto"/>
          <w:kern w:val="0"/>
          <w:sz w:val="32"/>
          <w:szCs w:val="32"/>
        </w:rPr>
        <w:t>负责全局行政各项事务和各项制度的贯彻执行及检查，</w:t>
      </w:r>
      <w:r>
        <w:rPr>
          <w:rFonts w:hint="eastAsia" w:ascii="仿宋_GB2312" w:hAnsi="仿宋_GB2312" w:eastAsia="仿宋_GB2312" w:cs="仿宋_GB2312"/>
          <w:b w:val="0"/>
          <w:bCs w:val="0"/>
          <w:color w:val="auto"/>
          <w:kern w:val="0"/>
          <w:sz w:val="32"/>
          <w:szCs w:val="32"/>
          <w:lang w:eastAsia="zh-CN"/>
        </w:rPr>
        <w:t>加挂区食品安全委员会办公室牌子，</w:t>
      </w:r>
      <w:r>
        <w:rPr>
          <w:rFonts w:hint="eastAsia" w:ascii="仿宋_GB2312" w:hAnsi="仿宋_GB2312" w:eastAsia="仿宋_GB2312" w:cs="仿宋_GB2312"/>
          <w:b w:val="0"/>
          <w:bCs w:val="0"/>
          <w:color w:val="auto"/>
          <w:kern w:val="0"/>
          <w:sz w:val="32"/>
          <w:szCs w:val="32"/>
        </w:rPr>
        <w:t>信息</w:t>
      </w:r>
      <w:r>
        <w:rPr>
          <w:rFonts w:hint="eastAsia" w:ascii="仿宋_GB2312" w:hAnsi="仿宋_GB2312" w:eastAsia="仿宋_GB2312" w:cs="仿宋_GB2312"/>
          <w:b w:val="0"/>
          <w:bCs w:val="0"/>
          <w:color w:val="auto"/>
          <w:kern w:val="0"/>
          <w:sz w:val="32"/>
          <w:szCs w:val="32"/>
          <w:lang w:eastAsia="zh-CN"/>
        </w:rPr>
        <w:t>发布及信息公开指南，宣传，文件上传下达，发文，文件档案管理，保密，绩效考评督查，政府热线转办，</w:t>
      </w:r>
      <w:r>
        <w:rPr>
          <w:rFonts w:hint="eastAsia" w:ascii="仿宋_GB2312" w:hAnsi="仿宋_GB2312" w:eastAsia="仿宋_GB2312" w:cs="仿宋_GB2312"/>
          <w:b w:val="0"/>
          <w:bCs w:val="0"/>
          <w:color w:val="auto"/>
          <w:kern w:val="0"/>
          <w:sz w:val="32"/>
          <w:szCs w:val="32"/>
        </w:rPr>
        <w:t>人事劳资，</w:t>
      </w:r>
      <w:r>
        <w:rPr>
          <w:rFonts w:hint="eastAsia" w:ascii="仿宋_GB2312" w:hAnsi="仿宋_GB2312" w:eastAsia="仿宋_GB2312" w:cs="仿宋_GB2312"/>
          <w:b w:val="0"/>
          <w:bCs w:val="0"/>
          <w:color w:val="auto"/>
          <w:kern w:val="0"/>
          <w:sz w:val="32"/>
          <w:szCs w:val="32"/>
          <w:lang w:eastAsia="zh-CN"/>
        </w:rPr>
        <w:t>值班安排，公车管理，公共节能，垃圾分类，</w:t>
      </w:r>
      <w:r>
        <w:rPr>
          <w:rFonts w:hint="eastAsia" w:ascii="仿宋_GB2312" w:hAnsi="仿宋_GB2312" w:eastAsia="仿宋_GB2312" w:cs="仿宋_GB2312"/>
          <w:b w:val="0"/>
          <w:bCs w:val="0"/>
          <w:color w:val="auto"/>
          <w:kern w:val="0"/>
          <w:sz w:val="32"/>
          <w:szCs w:val="32"/>
        </w:rPr>
        <w:t>后勤保障，负责党支部日常工作，</w:t>
      </w:r>
      <w:r>
        <w:rPr>
          <w:rFonts w:hint="eastAsia" w:ascii="仿宋_GB2312" w:hAnsi="仿宋_GB2312" w:eastAsia="仿宋_GB2312" w:cs="仿宋_GB2312"/>
          <w:b w:val="0"/>
          <w:bCs w:val="0"/>
          <w:color w:val="auto"/>
          <w:sz w:val="32"/>
          <w:szCs w:val="32"/>
        </w:rPr>
        <w:t>党建</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党风廉政建设</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工会、青年、妇女</w:t>
      </w:r>
      <w:r>
        <w:rPr>
          <w:rFonts w:hint="eastAsia" w:ascii="仿宋_GB2312" w:hAnsi="仿宋_GB2312" w:eastAsia="仿宋_GB2312" w:cs="仿宋_GB2312"/>
          <w:b w:val="0"/>
          <w:bCs w:val="0"/>
          <w:color w:val="auto"/>
          <w:sz w:val="32"/>
          <w:szCs w:val="32"/>
          <w:lang w:eastAsia="zh-CN"/>
        </w:rPr>
        <w:t>等</w:t>
      </w:r>
      <w:r>
        <w:rPr>
          <w:rFonts w:hint="eastAsia" w:ascii="仿宋_GB2312" w:hAnsi="仿宋_GB2312" w:eastAsia="仿宋_GB2312" w:cs="仿宋_GB2312"/>
          <w:b w:val="0"/>
          <w:bCs w:val="0"/>
          <w:color w:val="auto"/>
          <w:sz w:val="32"/>
          <w:szCs w:val="32"/>
        </w:rPr>
        <w:t>工作</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kern w:val="0"/>
          <w:sz w:val="32"/>
          <w:szCs w:val="32"/>
        </w:rPr>
        <w:t>信访维稳</w:t>
      </w:r>
      <w:r>
        <w:rPr>
          <w:rFonts w:hint="eastAsia" w:ascii="仿宋_GB2312" w:hAnsi="仿宋_GB2312" w:eastAsia="仿宋_GB2312" w:cs="仿宋_GB2312"/>
          <w:b w:val="0"/>
          <w:bCs w:val="0"/>
          <w:color w:val="auto"/>
          <w:kern w:val="0"/>
          <w:sz w:val="32"/>
          <w:szCs w:val="32"/>
          <w:lang w:eastAsia="zh-CN"/>
        </w:rPr>
        <w:t>，</w:t>
      </w:r>
      <w:r>
        <w:rPr>
          <w:rFonts w:hint="eastAsia" w:ascii="仿宋_GB2312" w:hAnsi="仿宋_GB2312" w:eastAsia="仿宋_GB2312" w:cs="仿宋_GB2312"/>
          <w:b w:val="0"/>
          <w:bCs w:val="0"/>
          <w:color w:val="auto"/>
          <w:sz w:val="32"/>
          <w:szCs w:val="32"/>
          <w:lang w:eastAsia="zh-CN"/>
        </w:rPr>
        <w:t>疫情防控组织协调，</w:t>
      </w:r>
      <w:r>
        <w:rPr>
          <w:rFonts w:hint="eastAsia" w:ascii="仿宋_GB2312" w:hAnsi="仿宋_GB2312" w:eastAsia="仿宋_GB2312" w:cs="仿宋_GB2312"/>
          <w:b w:val="0"/>
          <w:bCs w:val="0"/>
          <w:color w:val="auto"/>
          <w:kern w:val="0"/>
          <w:sz w:val="32"/>
          <w:szCs w:val="32"/>
          <w:lang w:eastAsia="zh-CN"/>
        </w:rPr>
        <w:t>打击传销</w:t>
      </w:r>
      <w:r>
        <w:rPr>
          <w:rFonts w:hint="eastAsia" w:ascii="仿宋_GB2312" w:hAnsi="仿宋_GB2312" w:eastAsia="仿宋_GB2312" w:cs="仿宋_GB2312"/>
          <w:b w:val="0"/>
          <w:bCs w:val="0"/>
          <w:color w:val="auto"/>
          <w:sz w:val="32"/>
          <w:szCs w:val="32"/>
          <w:lang w:eastAsia="zh-CN"/>
        </w:rPr>
        <w:t>综合协调等工作</w:t>
      </w:r>
      <w:r>
        <w:rPr>
          <w:rFonts w:hint="eastAsia" w:ascii="仿宋_GB2312" w:hAnsi="仿宋_GB2312" w:eastAsia="仿宋_GB2312" w:cs="仿宋_GB2312"/>
          <w:b w:val="0"/>
          <w:bCs w:val="0"/>
          <w:color w:val="auto"/>
          <w:kern w:val="0"/>
          <w:sz w:val="32"/>
          <w:szCs w:val="32"/>
        </w:rPr>
        <w:t>。</w:t>
      </w:r>
      <w:r>
        <w:rPr>
          <w:rFonts w:hint="eastAsia" w:ascii="仿宋_GB2312" w:hAnsi="仿宋_GB2312" w:eastAsia="仿宋_GB2312" w:cs="仿宋_GB2312"/>
          <w:b w:val="0"/>
          <w:bCs w:val="0"/>
          <w:spacing w:val="-7"/>
          <w:sz w:val="32"/>
          <w:szCs w:val="32"/>
          <w:lang w:eastAsia="zh-CN"/>
        </w:rPr>
        <w:t>完成局领导交办的其他任务。</w:t>
      </w:r>
    </w:p>
    <w:p>
      <w:pPr>
        <w:keepNext w:val="0"/>
        <w:keepLines w:val="0"/>
        <w:pageBreakBefore w:val="0"/>
        <w:widowControl/>
        <w:numPr>
          <w:ilvl w:val="0"/>
          <w:numId w:val="0"/>
        </w:numPr>
        <w:kinsoku/>
        <w:wordWrap/>
        <w:overflowPunct/>
        <w:topLinePunct w:val="0"/>
        <w:autoSpaceDE/>
        <w:autoSpaceDN/>
        <w:bidi w:val="0"/>
        <w:adjustRightInd/>
        <w:snapToGrid/>
        <w:spacing w:line="640" w:lineRule="exact"/>
        <w:ind w:left="0" w:leftChars="0" w:right="0" w:rightChars="0" w:firstLine="640" w:firstLineChars="200"/>
        <w:jc w:val="both"/>
        <w:textAlignment w:val="auto"/>
        <w:outlineLvl w:val="9"/>
        <w:rPr>
          <w:rFonts w:hint="eastAsia" w:ascii="仿宋_GB2312" w:hAnsi="仿宋_GB2312" w:eastAsia="仿宋_GB2312" w:cs="仿宋_GB2312"/>
          <w:b w:val="0"/>
          <w:bCs w:val="0"/>
          <w:spacing w:val="-7"/>
          <w:sz w:val="32"/>
          <w:szCs w:val="32"/>
          <w:lang w:eastAsia="zh-CN"/>
        </w:rPr>
      </w:pPr>
      <w:r>
        <w:rPr>
          <w:rFonts w:hint="eastAsia" w:ascii="仿宋_GB2312" w:hAnsi="仿宋_GB2312" w:eastAsia="仿宋_GB2312" w:cs="仿宋_GB2312"/>
          <w:b w:val="0"/>
          <w:bCs w:val="0"/>
          <w:color w:val="auto"/>
          <w:kern w:val="0"/>
          <w:sz w:val="32"/>
          <w:szCs w:val="32"/>
          <w:lang w:eastAsia="zh-CN"/>
        </w:rPr>
        <w:t>财务室：</w:t>
      </w:r>
      <w:r>
        <w:rPr>
          <w:rFonts w:hint="eastAsia" w:ascii="仿宋_GB2312" w:hAnsi="仿宋_GB2312" w:eastAsia="仿宋_GB2312" w:cs="仿宋_GB2312"/>
          <w:b w:val="0"/>
          <w:bCs w:val="0"/>
          <w:color w:val="auto"/>
          <w:kern w:val="0"/>
          <w:sz w:val="32"/>
          <w:szCs w:val="32"/>
        </w:rPr>
        <w:t>负责编制和审定年度收支计划，纳税的申报、缴纳和结算工作，会计档案整理、装订，</w:t>
      </w:r>
      <w:r>
        <w:rPr>
          <w:rFonts w:hint="eastAsia" w:ascii="仿宋_GB2312" w:hAnsi="仿宋_GB2312" w:eastAsia="仿宋_GB2312" w:cs="仿宋_GB2312"/>
          <w:b w:val="0"/>
          <w:bCs w:val="0"/>
          <w:color w:val="auto"/>
          <w:kern w:val="0"/>
          <w:sz w:val="32"/>
          <w:szCs w:val="32"/>
          <w:lang w:eastAsia="zh-CN"/>
        </w:rPr>
        <w:t>负责</w:t>
      </w:r>
      <w:r>
        <w:rPr>
          <w:rFonts w:hint="eastAsia" w:ascii="仿宋_GB2312" w:hAnsi="仿宋_GB2312" w:eastAsia="仿宋_GB2312" w:cs="仿宋_GB2312"/>
          <w:b w:val="0"/>
          <w:bCs w:val="0"/>
          <w:color w:val="auto"/>
          <w:kern w:val="0"/>
          <w:sz w:val="32"/>
          <w:szCs w:val="32"/>
          <w:lang w:val="en-US" w:eastAsia="zh-CN"/>
        </w:rPr>
        <w:t>罚没物资管理和处置、罚没款项的上缴，</w:t>
      </w:r>
      <w:r>
        <w:rPr>
          <w:rFonts w:hint="eastAsia" w:ascii="仿宋_GB2312" w:hAnsi="仿宋_GB2312" w:eastAsia="仿宋_GB2312" w:cs="仿宋_GB2312"/>
          <w:b w:val="0"/>
          <w:bCs w:val="0"/>
          <w:color w:val="auto"/>
          <w:kern w:val="0"/>
          <w:sz w:val="32"/>
          <w:szCs w:val="32"/>
        </w:rPr>
        <w:t>固定资产的管理</w:t>
      </w:r>
      <w:r>
        <w:rPr>
          <w:rFonts w:hint="eastAsia" w:ascii="仿宋_GB2312" w:hAnsi="仿宋_GB2312" w:eastAsia="仿宋_GB2312" w:cs="仿宋_GB2312"/>
          <w:b w:val="0"/>
          <w:bCs w:val="0"/>
          <w:color w:val="auto"/>
          <w:kern w:val="0"/>
          <w:sz w:val="32"/>
          <w:szCs w:val="32"/>
          <w:lang w:eastAsia="zh-CN"/>
        </w:rPr>
        <w:t>等。</w:t>
      </w:r>
      <w:r>
        <w:rPr>
          <w:rFonts w:hint="eastAsia" w:ascii="仿宋_GB2312" w:hAnsi="仿宋_GB2312" w:eastAsia="仿宋_GB2312" w:cs="仿宋_GB2312"/>
          <w:b w:val="0"/>
          <w:bCs w:val="0"/>
          <w:spacing w:val="-7"/>
          <w:sz w:val="32"/>
          <w:szCs w:val="32"/>
          <w:lang w:eastAsia="zh-CN"/>
        </w:rPr>
        <w:t>完成局领导交办的其他任务。</w:t>
      </w:r>
    </w:p>
    <w:p>
      <w:pPr>
        <w:keepNext w:val="0"/>
        <w:keepLines w:val="0"/>
        <w:pageBreakBefore w:val="0"/>
        <w:widowControl/>
        <w:numPr>
          <w:ilvl w:val="0"/>
          <w:numId w:val="0"/>
        </w:numPr>
        <w:kinsoku/>
        <w:wordWrap/>
        <w:overflowPunct/>
        <w:topLinePunct w:val="0"/>
        <w:autoSpaceDE/>
        <w:autoSpaceDN/>
        <w:bidi w:val="0"/>
        <w:adjustRightInd/>
        <w:snapToGrid/>
        <w:spacing w:line="640" w:lineRule="exact"/>
        <w:ind w:leftChars="0"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rPr>
      </w:pPr>
      <w:r>
        <w:rPr>
          <w:rFonts w:hint="eastAsia" w:ascii="仿宋_GB2312" w:hAnsi="仿宋_GB2312" w:eastAsia="仿宋_GB2312" w:cs="仿宋_GB2312"/>
          <w:b w:val="0"/>
          <w:bCs w:val="0"/>
          <w:color w:val="auto"/>
          <w:sz w:val="32"/>
          <w:szCs w:val="32"/>
          <w:lang w:val="en-US" w:eastAsia="zh-CN"/>
        </w:rPr>
        <w:t>（二）</w:t>
      </w:r>
      <w:r>
        <w:rPr>
          <w:rFonts w:hint="eastAsia" w:ascii="仿宋_GB2312" w:hAnsi="仿宋_GB2312" w:eastAsia="仿宋_GB2312" w:cs="仿宋_GB2312"/>
          <w:b w:val="0"/>
          <w:bCs w:val="0"/>
          <w:color w:val="auto"/>
          <w:kern w:val="0"/>
          <w:sz w:val="32"/>
          <w:szCs w:val="32"/>
          <w:lang w:eastAsia="zh-CN"/>
        </w:rPr>
        <w:t>审批登记</w:t>
      </w:r>
      <w:r>
        <w:rPr>
          <w:rFonts w:hint="eastAsia" w:ascii="仿宋_GB2312" w:hAnsi="仿宋_GB2312" w:eastAsia="仿宋_GB2312" w:cs="仿宋_GB2312"/>
          <w:b w:val="0"/>
          <w:bCs w:val="0"/>
          <w:color w:val="auto"/>
          <w:kern w:val="0"/>
          <w:sz w:val="32"/>
          <w:szCs w:val="32"/>
        </w:rPr>
        <w:t>股</w:t>
      </w:r>
    </w:p>
    <w:p>
      <w:pPr>
        <w:keepNext w:val="0"/>
        <w:keepLines w:val="0"/>
        <w:pageBreakBefore w:val="0"/>
        <w:widowControl/>
        <w:numPr>
          <w:ilvl w:val="0"/>
          <w:numId w:val="0"/>
        </w:numPr>
        <w:kinsoku/>
        <w:wordWrap/>
        <w:overflowPunct/>
        <w:topLinePunct w:val="0"/>
        <w:autoSpaceDE/>
        <w:autoSpaceDN/>
        <w:bidi w:val="0"/>
        <w:adjustRightInd/>
        <w:snapToGrid/>
        <w:spacing w:line="640" w:lineRule="exact"/>
        <w:ind w:leftChars="0" w:right="0" w:rightChars="0" w:firstLine="640" w:firstLineChars="200"/>
        <w:jc w:val="both"/>
        <w:textAlignment w:val="auto"/>
        <w:outlineLvl w:val="9"/>
        <w:rPr>
          <w:rFonts w:hint="eastAsia" w:ascii="仿宋_GB2312" w:hAnsi="仿宋_GB2312" w:eastAsia="仿宋_GB2312" w:cs="仿宋_GB2312"/>
          <w:b w:val="0"/>
          <w:bCs w:val="0"/>
          <w:spacing w:val="-7"/>
          <w:sz w:val="32"/>
          <w:szCs w:val="32"/>
          <w:lang w:eastAsia="zh-CN"/>
        </w:rPr>
      </w:pPr>
      <w:r>
        <w:rPr>
          <w:rFonts w:hint="eastAsia" w:ascii="仿宋_GB2312" w:hAnsi="仿宋_GB2312" w:eastAsia="仿宋_GB2312" w:cs="仿宋_GB2312"/>
          <w:b w:val="0"/>
          <w:bCs w:val="0"/>
          <w:color w:val="auto"/>
          <w:kern w:val="0"/>
          <w:sz w:val="32"/>
          <w:szCs w:val="32"/>
          <w:lang w:eastAsia="zh-CN"/>
        </w:rPr>
        <w:t>负责</w:t>
      </w:r>
      <w:r>
        <w:rPr>
          <w:rFonts w:hint="eastAsia" w:ascii="仿宋_GB2312" w:hAnsi="仿宋_GB2312" w:eastAsia="仿宋_GB2312" w:cs="仿宋_GB2312"/>
          <w:b w:val="0"/>
          <w:bCs w:val="0"/>
          <w:color w:val="auto"/>
          <w:kern w:val="0"/>
          <w:sz w:val="32"/>
          <w:szCs w:val="32"/>
        </w:rPr>
        <w:t>企业注册登记、行政审批(食品生产经营审批、“三小”备案、二类医疗器械备案)</w:t>
      </w:r>
      <w:r>
        <w:rPr>
          <w:rFonts w:hint="eastAsia" w:ascii="仿宋_GB2312" w:hAnsi="仿宋_GB2312" w:eastAsia="仿宋_GB2312" w:cs="仿宋_GB2312"/>
          <w:b w:val="0"/>
          <w:bCs w:val="0"/>
          <w:color w:val="auto"/>
          <w:kern w:val="0"/>
          <w:sz w:val="32"/>
          <w:szCs w:val="32"/>
          <w:lang w:eastAsia="zh-CN"/>
        </w:rPr>
        <w:t>，优化营商工作，企业档案管理，</w:t>
      </w:r>
      <w:r>
        <w:rPr>
          <w:rFonts w:hint="eastAsia" w:ascii="仿宋_GB2312" w:hAnsi="仿宋_GB2312" w:eastAsia="仿宋_GB2312" w:cs="仿宋_GB2312"/>
          <w:b w:val="0"/>
          <w:bCs w:val="0"/>
          <w:color w:val="auto"/>
          <w:sz w:val="32"/>
          <w:szCs w:val="32"/>
        </w:rPr>
        <w:t>非公组织党(团)建</w:t>
      </w:r>
      <w:r>
        <w:rPr>
          <w:rFonts w:hint="eastAsia" w:ascii="仿宋_GB2312" w:hAnsi="仿宋_GB2312" w:eastAsia="仿宋_GB2312" w:cs="仿宋_GB2312"/>
          <w:b w:val="0"/>
          <w:bCs w:val="0"/>
          <w:color w:val="auto"/>
          <w:kern w:val="0"/>
          <w:sz w:val="32"/>
          <w:szCs w:val="32"/>
          <w:lang w:eastAsia="zh-CN"/>
        </w:rPr>
        <w:t>，负责</w:t>
      </w:r>
      <w:r>
        <w:rPr>
          <w:rFonts w:hint="eastAsia" w:ascii="仿宋_GB2312" w:hAnsi="仿宋_GB2312" w:eastAsia="仿宋_GB2312" w:cs="仿宋_GB2312"/>
          <w:b w:val="0"/>
          <w:bCs w:val="0"/>
          <w:color w:val="auto"/>
          <w:kern w:val="0"/>
          <w:sz w:val="32"/>
          <w:szCs w:val="32"/>
        </w:rPr>
        <w:t>个体私营注册登记、</w:t>
      </w:r>
      <w:r>
        <w:rPr>
          <w:rFonts w:hint="eastAsia" w:ascii="仿宋_GB2312" w:hAnsi="仿宋_GB2312" w:eastAsia="仿宋_GB2312" w:cs="仿宋_GB2312"/>
          <w:b w:val="0"/>
          <w:bCs w:val="0"/>
          <w:color w:val="auto"/>
          <w:kern w:val="0"/>
          <w:sz w:val="32"/>
          <w:szCs w:val="32"/>
          <w:lang w:eastAsia="zh-CN"/>
        </w:rPr>
        <w:t>个体私营市场主体档案管理</w:t>
      </w:r>
      <w:r>
        <w:rPr>
          <w:rFonts w:hint="eastAsia" w:ascii="仿宋_GB2312" w:hAnsi="仿宋_GB2312" w:eastAsia="仿宋_GB2312" w:cs="仿宋_GB2312"/>
          <w:b w:val="0"/>
          <w:bCs w:val="0"/>
          <w:color w:val="auto"/>
          <w:kern w:val="0"/>
          <w:sz w:val="32"/>
          <w:szCs w:val="32"/>
        </w:rPr>
        <w:t>。</w:t>
      </w:r>
      <w:r>
        <w:rPr>
          <w:rFonts w:hint="eastAsia" w:ascii="仿宋_GB2312" w:hAnsi="仿宋_GB2312" w:eastAsia="仿宋_GB2312" w:cs="仿宋_GB2312"/>
          <w:b w:val="0"/>
          <w:bCs w:val="0"/>
          <w:color w:val="auto"/>
          <w:sz w:val="32"/>
          <w:szCs w:val="32"/>
        </w:rPr>
        <w:t>负责</w:t>
      </w:r>
      <w:r>
        <w:rPr>
          <w:rFonts w:hint="eastAsia" w:ascii="仿宋_GB2312" w:hAnsi="仿宋_GB2312" w:eastAsia="仿宋_GB2312" w:cs="仿宋_GB2312"/>
          <w:b w:val="0"/>
          <w:bCs w:val="0"/>
          <w:color w:val="auto"/>
          <w:sz w:val="32"/>
          <w:szCs w:val="32"/>
          <w:lang w:eastAsia="zh-CN"/>
        </w:rPr>
        <w:t>指导</w:t>
      </w:r>
      <w:r>
        <w:rPr>
          <w:rFonts w:hint="eastAsia" w:ascii="仿宋_GB2312" w:hAnsi="仿宋_GB2312" w:eastAsia="仿宋_GB2312" w:cs="仿宋_GB2312"/>
          <w:b w:val="0"/>
          <w:bCs w:val="0"/>
          <w:color w:val="auto"/>
          <w:sz w:val="32"/>
          <w:szCs w:val="32"/>
        </w:rPr>
        <w:t>辖区市场主体信用体系建设工作。加强信用监管，</w:t>
      </w:r>
      <w:r>
        <w:rPr>
          <w:rFonts w:hint="eastAsia" w:ascii="仿宋_GB2312" w:hAnsi="仿宋_GB2312" w:eastAsia="仿宋_GB2312" w:cs="仿宋_GB2312"/>
          <w:b w:val="0"/>
          <w:bCs w:val="0"/>
          <w:sz w:val="32"/>
          <w:szCs w:val="32"/>
        </w:rPr>
        <w:t>做好涉企信息统一归集公示，推动市场主体信用体系建设</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color w:val="auto"/>
          <w:kern w:val="0"/>
          <w:sz w:val="32"/>
          <w:szCs w:val="32"/>
        </w:rPr>
        <w:t>动产抵押登记</w:t>
      </w:r>
      <w:r>
        <w:rPr>
          <w:rFonts w:hint="eastAsia" w:ascii="仿宋_GB2312" w:hAnsi="仿宋_GB2312" w:eastAsia="仿宋_GB2312" w:cs="仿宋_GB2312"/>
          <w:b w:val="0"/>
          <w:bCs w:val="0"/>
          <w:color w:val="auto"/>
          <w:kern w:val="0"/>
          <w:sz w:val="32"/>
          <w:szCs w:val="32"/>
          <w:lang w:eastAsia="zh-CN"/>
        </w:rPr>
        <w:t>等。</w:t>
      </w:r>
      <w:r>
        <w:rPr>
          <w:rFonts w:hint="eastAsia" w:ascii="仿宋_GB2312" w:hAnsi="仿宋_GB2312" w:eastAsia="仿宋_GB2312" w:cs="仿宋_GB2312"/>
          <w:b w:val="0"/>
          <w:bCs w:val="0"/>
          <w:spacing w:val="-7"/>
          <w:sz w:val="32"/>
          <w:szCs w:val="32"/>
          <w:lang w:eastAsia="zh-CN"/>
        </w:rPr>
        <w:t>完成局领导交办的其他任务。</w:t>
      </w:r>
    </w:p>
    <w:p>
      <w:pPr>
        <w:keepNext w:val="0"/>
        <w:keepLines w:val="0"/>
        <w:pageBreakBefore w:val="0"/>
        <w:widowControl/>
        <w:numPr>
          <w:ilvl w:val="0"/>
          <w:numId w:val="0"/>
        </w:numPr>
        <w:kinsoku/>
        <w:wordWrap/>
        <w:overflowPunct/>
        <w:topLinePunct w:val="0"/>
        <w:autoSpaceDE/>
        <w:autoSpaceDN/>
        <w:bidi w:val="0"/>
        <w:adjustRightInd/>
        <w:snapToGrid/>
        <w:spacing w:line="640" w:lineRule="exact"/>
        <w:ind w:leftChars="0" w:right="0" w:rightChars="0" w:firstLine="640" w:firstLineChars="20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（三）食品股</w:t>
      </w:r>
    </w:p>
    <w:p>
      <w:pPr>
        <w:keepNext w:val="0"/>
        <w:keepLines w:val="0"/>
        <w:pageBreakBefore w:val="0"/>
        <w:widowControl/>
        <w:numPr>
          <w:ilvl w:val="0"/>
          <w:numId w:val="2"/>
        </w:numPr>
        <w:kinsoku/>
        <w:wordWrap/>
        <w:overflowPunct/>
        <w:topLinePunct w:val="0"/>
        <w:autoSpaceDE/>
        <w:autoSpaceDN/>
        <w:bidi w:val="0"/>
        <w:adjustRightInd/>
        <w:snapToGrid/>
        <w:spacing w:line="640" w:lineRule="exact"/>
        <w:ind w:leftChars="0"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rPr>
      </w:pPr>
      <w:r>
        <w:rPr>
          <w:rFonts w:hint="eastAsia" w:ascii="仿宋_GB2312" w:hAnsi="仿宋_GB2312" w:eastAsia="仿宋_GB2312" w:cs="仿宋_GB2312"/>
          <w:b w:val="0"/>
          <w:bCs w:val="0"/>
          <w:color w:val="auto"/>
          <w:kern w:val="0"/>
          <w:sz w:val="32"/>
          <w:szCs w:val="32"/>
        </w:rPr>
        <w:t>统筹协调食品较大事故的应急处置和调查处理工作。负责食品安全监督管理综合协调工作，组织对有关部门和</w:t>
      </w:r>
      <w:r>
        <w:rPr>
          <w:rFonts w:hint="eastAsia" w:ascii="仿宋_GB2312" w:hAnsi="仿宋_GB2312" w:eastAsia="仿宋_GB2312" w:cs="仿宋_GB2312"/>
          <w:b w:val="0"/>
          <w:bCs w:val="0"/>
          <w:color w:val="auto"/>
          <w:kern w:val="0"/>
          <w:sz w:val="32"/>
          <w:szCs w:val="32"/>
          <w:lang w:eastAsia="zh-CN"/>
        </w:rPr>
        <w:t>街道办事处</w:t>
      </w:r>
      <w:r>
        <w:rPr>
          <w:rFonts w:hint="eastAsia" w:ascii="仿宋_GB2312" w:hAnsi="仿宋_GB2312" w:eastAsia="仿宋_GB2312" w:cs="仿宋_GB2312"/>
          <w:b w:val="0"/>
          <w:bCs w:val="0"/>
          <w:color w:val="auto"/>
          <w:kern w:val="0"/>
          <w:sz w:val="32"/>
          <w:szCs w:val="32"/>
        </w:rPr>
        <w:t>履行食品安全监督管理职责的督查考核工作。统筹协调食品全过程监管中的重大问题，推动健全食品安全跨地区跨部门协调联动机制工作。承办</w:t>
      </w:r>
      <w:r>
        <w:rPr>
          <w:rFonts w:hint="eastAsia" w:ascii="仿宋_GB2312" w:hAnsi="仿宋_GB2312" w:eastAsia="仿宋_GB2312" w:cs="仿宋_GB2312"/>
          <w:b w:val="0"/>
          <w:bCs w:val="0"/>
          <w:color w:val="auto"/>
          <w:kern w:val="0"/>
          <w:sz w:val="32"/>
          <w:szCs w:val="32"/>
          <w:lang w:eastAsia="zh-CN"/>
        </w:rPr>
        <w:t>区</w:t>
      </w:r>
      <w:r>
        <w:rPr>
          <w:rFonts w:hint="eastAsia" w:ascii="仿宋_GB2312" w:hAnsi="仿宋_GB2312" w:eastAsia="仿宋_GB2312" w:cs="仿宋_GB2312"/>
          <w:b w:val="0"/>
          <w:bCs w:val="0"/>
          <w:color w:val="auto"/>
          <w:kern w:val="0"/>
          <w:sz w:val="32"/>
          <w:szCs w:val="32"/>
        </w:rPr>
        <w:t>食品安全委员会日常工作。</w:t>
      </w:r>
    </w:p>
    <w:p>
      <w:pPr>
        <w:keepNext w:val="0"/>
        <w:keepLines w:val="0"/>
        <w:pageBreakBefore w:val="0"/>
        <w:widowControl/>
        <w:numPr>
          <w:ilvl w:val="0"/>
          <w:numId w:val="2"/>
        </w:numPr>
        <w:kinsoku/>
        <w:wordWrap/>
        <w:overflowPunct/>
        <w:topLinePunct w:val="0"/>
        <w:autoSpaceDE/>
        <w:autoSpaceDN/>
        <w:bidi w:val="0"/>
        <w:adjustRightInd/>
        <w:snapToGrid/>
        <w:spacing w:line="640" w:lineRule="exact"/>
        <w:ind w:leftChars="0"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rPr>
      </w:pPr>
      <w:r>
        <w:rPr>
          <w:rFonts w:hint="eastAsia" w:ascii="仿宋_GB2312" w:hAnsi="仿宋_GB2312" w:eastAsia="仿宋_GB2312" w:cs="仿宋_GB2312"/>
          <w:b w:val="0"/>
          <w:bCs w:val="0"/>
          <w:color w:val="auto"/>
          <w:kern w:val="0"/>
          <w:sz w:val="32"/>
          <w:szCs w:val="32"/>
        </w:rPr>
        <w:t>负责</w:t>
      </w:r>
      <w:r>
        <w:rPr>
          <w:rFonts w:hint="eastAsia" w:ascii="仿宋_GB2312" w:hAnsi="仿宋_GB2312" w:eastAsia="仿宋_GB2312" w:cs="仿宋_GB2312"/>
          <w:b w:val="0"/>
          <w:bCs w:val="0"/>
          <w:color w:val="auto"/>
          <w:kern w:val="0"/>
          <w:sz w:val="32"/>
          <w:szCs w:val="32"/>
          <w:lang w:eastAsia="zh-CN"/>
        </w:rPr>
        <w:t>指导</w:t>
      </w:r>
      <w:r>
        <w:rPr>
          <w:rFonts w:hint="eastAsia" w:ascii="仿宋_GB2312" w:hAnsi="仿宋_GB2312" w:eastAsia="仿宋_GB2312" w:cs="仿宋_GB2312"/>
          <w:b w:val="0"/>
          <w:bCs w:val="0"/>
          <w:color w:val="auto"/>
          <w:kern w:val="0"/>
          <w:sz w:val="32"/>
          <w:szCs w:val="32"/>
        </w:rPr>
        <w:t>食品安全监督管理。</w:t>
      </w:r>
      <w:r>
        <w:rPr>
          <w:rFonts w:hint="eastAsia" w:ascii="仿宋_GB2312" w:hAnsi="仿宋_GB2312" w:eastAsia="仿宋_GB2312" w:cs="仿宋_GB2312"/>
          <w:b w:val="0"/>
          <w:bCs w:val="0"/>
          <w:color w:val="auto"/>
          <w:kern w:val="0"/>
          <w:sz w:val="32"/>
          <w:szCs w:val="32"/>
          <w:lang w:eastAsia="zh-CN"/>
        </w:rPr>
        <w:t>指导</w:t>
      </w:r>
      <w:r>
        <w:rPr>
          <w:rFonts w:hint="eastAsia" w:ascii="仿宋_GB2312" w:hAnsi="仿宋_GB2312" w:eastAsia="仿宋_GB2312" w:cs="仿宋_GB2312"/>
          <w:b w:val="0"/>
          <w:bCs w:val="0"/>
          <w:color w:val="auto"/>
          <w:kern w:val="0"/>
          <w:sz w:val="32"/>
          <w:szCs w:val="32"/>
        </w:rPr>
        <w:t>建立覆盖辖区内食品生产、流通、消费全过程的监督检查制度和隐患排查治理机制，防范区域性、系统性风险。</w:t>
      </w:r>
      <w:r>
        <w:rPr>
          <w:rFonts w:hint="eastAsia" w:ascii="仿宋_GB2312" w:hAnsi="仿宋_GB2312" w:eastAsia="仿宋_GB2312" w:cs="仿宋_GB2312"/>
          <w:b w:val="0"/>
          <w:bCs w:val="0"/>
          <w:color w:val="auto"/>
          <w:kern w:val="0"/>
          <w:sz w:val="32"/>
          <w:szCs w:val="32"/>
          <w:lang w:eastAsia="zh-CN"/>
        </w:rPr>
        <w:t>指导</w:t>
      </w:r>
      <w:r>
        <w:rPr>
          <w:rFonts w:hint="eastAsia" w:ascii="仿宋_GB2312" w:hAnsi="仿宋_GB2312" w:eastAsia="仿宋_GB2312" w:cs="仿宋_GB2312"/>
          <w:b w:val="0"/>
          <w:bCs w:val="0"/>
          <w:color w:val="auto"/>
          <w:kern w:val="0"/>
          <w:sz w:val="32"/>
          <w:szCs w:val="32"/>
        </w:rPr>
        <w:t>推动建立食品生产经营者落实主体责任的机制，健全食品安全追溯体系。</w:t>
      </w:r>
      <w:r>
        <w:rPr>
          <w:rFonts w:hint="eastAsia" w:ascii="仿宋_GB2312" w:hAnsi="仿宋_GB2312" w:eastAsia="仿宋_GB2312" w:cs="仿宋_GB2312"/>
          <w:b w:val="0"/>
          <w:bCs w:val="0"/>
          <w:color w:val="auto"/>
          <w:kern w:val="0"/>
          <w:sz w:val="32"/>
          <w:szCs w:val="32"/>
          <w:lang w:eastAsia="zh-CN"/>
        </w:rPr>
        <w:t>指导</w:t>
      </w:r>
      <w:r>
        <w:rPr>
          <w:rFonts w:hint="eastAsia" w:ascii="仿宋_GB2312" w:hAnsi="仿宋_GB2312" w:eastAsia="仿宋_GB2312" w:cs="仿宋_GB2312"/>
          <w:b w:val="0"/>
          <w:bCs w:val="0"/>
          <w:color w:val="auto"/>
          <w:kern w:val="0"/>
          <w:sz w:val="32"/>
          <w:szCs w:val="32"/>
        </w:rPr>
        <w:t>开展食品安全监督抽检、风险监测、</w:t>
      </w:r>
      <w:r>
        <w:rPr>
          <w:rFonts w:hint="eastAsia" w:ascii="仿宋_GB2312" w:hAnsi="仿宋_GB2312" w:eastAsia="仿宋_GB2312" w:cs="仿宋_GB2312"/>
          <w:b w:val="0"/>
          <w:bCs w:val="0"/>
          <w:color w:val="auto"/>
          <w:kern w:val="0"/>
          <w:sz w:val="32"/>
          <w:szCs w:val="32"/>
          <w:lang w:eastAsia="zh-CN"/>
        </w:rPr>
        <w:t>现场</w:t>
      </w:r>
      <w:r>
        <w:rPr>
          <w:rFonts w:hint="eastAsia" w:ascii="仿宋_GB2312" w:hAnsi="仿宋_GB2312" w:eastAsia="仿宋_GB2312" w:cs="仿宋_GB2312"/>
          <w:b w:val="0"/>
          <w:bCs w:val="0"/>
          <w:color w:val="auto"/>
          <w:kern w:val="0"/>
          <w:sz w:val="32"/>
          <w:szCs w:val="32"/>
        </w:rPr>
        <w:t>核查处置和风险预警、风险交流工作。</w:t>
      </w:r>
      <w:r>
        <w:rPr>
          <w:rFonts w:hint="eastAsia" w:ascii="仿宋_GB2312" w:hAnsi="仿宋_GB2312" w:eastAsia="仿宋_GB2312" w:cs="仿宋_GB2312"/>
          <w:b w:val="0"/>
          <w:bCs w:val="0"/>
          <w:color w:val="auto"/>
          <w:kern w:val="0"/>
          <w:sz w:val="32"/>
          <w:szCs w:val="32"/>
          <w:lang w:eastAsia="zh-CN"/>
        </w:rPr>
        <w:t>指导开展食品安全保障工作。指导</w:t>
      </w:r>
      <w:r>
        <w:rPr>
          <w:rFonts w:hint="eastAsia" w:ascii="仿宋_GB2312" w:hAnsi="仿宋_GB2312" w:eastAsia="仿宋_GB2312" w:cs="仿宋_GB2312"/>
          <w:b w:val="0"/>
          <w:bCs w:val="0"/>
          <w:color w:val="auto"/>
          <w:kern w:val="0"/>
          <w:sz w:val="32"/>
          <w:szCs w:val="32"/>
        </w:rPr>
        <w:t>实施特殊食品和食盐监督管理。</w:t>
      </w:r>
    </w:p>
    <w:p>
      <w:pPr>
        <w:keepNext w:val="0"/>
        <w:keepLines w:val="0"/>
        <w:pageBreakBefore w:val="0"/>
        <w:widowControl/>
        <w:numPr>
          <w:ilvl w:val="0"/>
          <w:numId w:val="2"/>
        </w:numPr>
        <w:kinsoku/>
        <w:wordWrap/>
        <w:overflowPunct/>
        <w:topLinePunct w:val="0"/>
        <w:autoSpaceDE/>
        <w:autoSpaceDN/>
        <w:bidi w:val="0"/>
        <w:adjustRightInd/>
        <w:snapToGrid/>
        <w:spacing w:line="640" w:lineRule="exact"/>
        <w:ind w:leftChars="0" w:right="0" w:rightChars="0" w:firstLine="640" w:firstLineChars="200"/>
        <w:jc w:val="both"/>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auto"/>
          <w:kern w:val="0"/>
          <w:sz w:val="32"/>
          <w:szCs w:val="32"/>
          <w:lang w:eastAsia="zh-CN"/>
        </w:rPr>
        <w:t>负责组织指导实施</w:t>
      </w:r>
      <w:r>
        <w:rPr>
          <w:rFonts w:hint="eastAsia" w:ascii="仿宋_GB2312" w:hAnsi="仿宋_GB2312" w:eastAsia="仿宋_GB2312" w:cs="仿宋_GB2312"/>
          <w:b w:val="0"/>
          <w:bCs w:val="0"/>
          <w:color w:val="auto"/>
          <w:kern w:val="0"/>
          <w:sz w:val="32"/>
          <w:szCs w:val="32"/>
        </w:rPr>
        <w:t>创食安城</w:t>
      </w:r>
      <w:r>
        <w:rPr>
          <w:rFonts w:hint="eastAsia" w:ascii="仿宋_GB2312" w:hAnsi="仿宋_GB2312" w:eastAsia="仿宋_GB2312" w:cs="仿宋_GB2312"/>
          <w:b w:val="0"/>
          <w:bCs w:val="0"/>
          <w:color w:val="auto"/>
          <w:kern w:val="0"/>
          <w:sz w:val="32"/>
          <w:szCs w:val="32"/>
          <w:lang w:eastAsia="zh-CN"/>
        </w:rPr>
        <w:t>工作。</w:t>
      </w:r>
    </w:p>
    <w:p>
      <w:pPr>
        <w:keepNext w:val="0"/>
        <w:keepLines w:val="0"/>
        <w:pageBreakBefore w:val="0"/>
        <w:widowControl/>
        <w:numPr>
          <w:ilvl w:val="0"/>
          <w:numId w:val="2"/>
        </w:numPr>
        <w:kinsoku/>
        <w:wordWrap/>
        <w:overflowPunct/>
        <w:topLinePunct w:val="0"/>
        <w:autoSpaceDE/>
        <w:autoSpaceDN/>
        <w:bidi w:val="0"/>
        <w:adjustRightInd/>
        <w:snapToGrid/>
        <w:spacing w:line="640" w:lineRule="exact"/>
        <w:ind w:leftChars="0" w:right="0" w:rightChars="0" w:firstLine="640" w:firstLineChars="200"/>
        <w:jc w:val="both"/>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auto"/>
          <w:kern w:val="0"/>
          <w:sz w:val="32"/>
          <w:szCs w:val="32"/>
          <w:lang w:eastAsia="zh-CN"/>
        </w:rPr>
        <w:t>负责指导开展进口冷链食品等食品相关疫情防控工作、组织开展进驻柳州市进口冷链食品集中监管仓工作。</w:t>
      </w:r>
    </w:p>
    <w:p>
      <w:pPr>
        <w:keepNext w:val="0"/>
        <w:keepLines w:val="0"/>
        <w:pageBreakBefore w:val="0"/>
        <w:widowControl/>
        <w:numPr>
          <w:ilvl w:val="0"/>
          <w:numId w:val="2"/>
        </w:numPr>
        <w:kinsoku/>
        <w:wordWrap/>
        <w:overflowPunct/>
        <w:topLinePunct w:val="0"/>
        <w:autoSpaceDE/>
        <w:autoSpaceDN/>
        <w:bidi w:val="0"/>
        <w:adjustRightInd/>
        <w:snapToGrid/>
        <w:spacing w:line="640" w:lineRule="exact"/>
        <w:ind w:leftChars="0" w:right="0" w:rightChars="0" w:firstLine="612" w:firstLineChars="200"/>
        <w:jc w:val="both"/>
        <w:textAlignment w:val="auto"/>
        <w:outlineLvl w:val="9"/>
        <w:rPr>
          <w:rFonts w:hint="eastAsia" w:ascii="仿宋_GB2312" w:hAnsi="仿宋_GB2312" w:eastAsia="仿宋_GB2312" w:cs="仿宋_GB2312"/>
          <w:b w:val="0"/>
          <w:bCs w:val="0"/>
          <w:color w:val="auto"/>
          <w:kern w:val="0"/>
          <w:sz w:val="32"/>
          <w:szCs w:val="32"/>
          <w:lang w:eastAsia="zh-CN"/>
        </w:rPr>
      </w:pPr>
      <w:r>
        <w:rPr>
          <w:rFonts w:hint="eastAsia" w:ascii="仿宋_GB2312" w:hAnsi="仿宋_GB2312" w:eastAsia="仿宋_GB2312" w:cs="仿宋_GB2312"/>
          <w:b w:val="0"/>
          <w:bCs w:val="0"/>
          <w:spacing w:val="-7"/>
          <w:sz w:val="32"/>
          <w:szCs w:val="32"/>
          <w:lang w:eastAsia="zh-CN"/>
        </w:rPr>
        <w:t>完成局领导交办的其他任务。</w:t>
      </w:r>
    </w:p>
    <w:p>
      <w:pPr>
        <w:keepNext w:val="0"/>
        <w:keepLines w:val="0"/>
        <w:pageBreakBefore w:val="0"/>
        <w:widowControl/>
        <w:numPr>
          <w:ilvl w:val="0"/>
          <w:numId w:val="0"/>
        </w:numPr>
        <w:kinsoku/>
        <w:wordWrap/>
        <w:overflowPunct/>
        <w:topLinePunct w:val="0"/>
        <w:autoSpaceDE/>
        <w:autoSpaceDN/>
        <w:bidi w:val="0"/>
        <w:adjustRightInd/>
        <w:snapToGrid/>
        <w:spacing w:line="640" w:lineRule="exact"/>
        <w:ind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（四）药械化股</w:t>
      </w:r>
    </w:p>
    <w:p>
      <w:pPr>
        <w:keepNext w:val="0"/>
        <w:keepLines w:val="0"/>
        <w:pageBreakBefore w:val="0"/>
        <w:widowControl/>
        <w:numPr>
          <w:ilvl w:val="0"/>
          <w:numId w:val="0"/>
        </w:numPr>
        <w:kinsoku/>
        <w:wordWrap/>
        <w:overflowPunct/>
        <w:topLinePunct w:val="0"/>
        <w:autoSpaceDE/>
        <w:autoSpaceDN/>
        <w:bidi w:val="0"/>
        <w:adjustRightInd/>
        <w:snapToGrid/>
        <w:spacing w:line="640" w:lineRule="exact"/>
        <w:ind w:leftChars="0" w:right="0" w:rightChars="0" w:firstLine="640" w:firstLineChars="200"/>
        <w:jc w:val="both"/>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负责</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辖区内药品（含中药、民族药，下同）、医疗器械和化妆品安全监督管理。</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实施辖区药品、医疗器械、化妆品标准和分类管理制度。</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实施药品、医疗器械地方性标准。</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配合有关部门实施国家基本药物制度。</w:t>
      </w:r>
    </w:p>
    <w:p>
      <w:pPr>
        <w:keepNext w:val="0"/>
        <w:keepLines w:val="0"/>
        <w:pageBreakBefore w:val="0"/>
        <w:widowControl/>
        <w:numPr>
          <w:ilvl w:val="0"/>
          <w:numId w:val="0"/>
        </w:numPr>
        <w:kinsoku/>
        <w:wordWrap/>
        <w:overflowPunct/>
        <w:topLinePunct w:val="0"/>
        <w:autoSpaceDE/>
        <w:autoSpaceDN/>
        <w:bidi w:val="0"/>
        <w:adjustRightInd/>
        <w:snapToGrid/>
        <w:spacing w:line="640" w:lineRule="exact"/>
        <w:ind w:leftChars="0" w:right="0" w:rightChars="0" w:firstLine="640" w:firstLineChars="200"/>
        <w:jc w:val="both"/>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2.指导</w:t>
      </w:r>
      <w:r>
        <w:rPr>
          <w:rFonts w:hint="eastAsia" w:ascii="仿宋_GB2312" w:hAnsi="仿宋_GB2312" w:eastAsia="仿宋_GB2312" w:cs="仿宋_GB2312"/>
          <w:b w:val="0"/>
          <w:bCs w:val="0"/>
          <w:sz w:val="32"/>
          <w:szCs w:val="32"/>
        </w:rPr>
        <w:t>实施药品、医疗器械经营质量管理规范。</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实施化妆品经营、使用卫生标准和技术规范。</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推动落实辖区内药品、医疗器械和化妆品安全企业主体责任。</w:t>
      </w:r>
    </w:p>
    <w:p>
      <w:pPr>
        <w:keepNext w:val="0"/>
        <w:keepLines w:val="0"/>
        <w:pageBreakBefore w:val="0"/>
        <w:widowControl/>
        <w:numPr>
          <w:ilvl w:val="0"/>
          <w:numId w:val="0"/>
        </w:numPr>
        <w:kinsoku/>
        <w:wordWrap/>
        <w:overflowPunct/>
        <w:topLinePunct w:val="0"/>
        <w:autoSpaceDE/>
        <w:autoSpaceDN/>
        <w:bidi w:val="0"/>
        <w:adjustRightInd/>
        <w:snapToGrid/>
        <w:spacing w:line="640" w:lineRule="exact"/>
        <w:ind w:leftChars="0" w:right="0" w:rightChars="0" w:firstLine="640" w:firstLineChars="200"/>
        <w:jc w:val="both"/>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t>负责</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辖区药品、医疗器械和化妆品上市后风险管理。</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开展辖区内药品不良反应、医疗器械不良事件和化妆品不良反应的监测工作。</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依法承担药品、医疗器械和化妆品安全风险监测和应急管理工作。</w:t>
      </w:r>
    </w:p>
    <w:p>
      <w:pPr>
        <w:keepNext w:val="0"/>
        <w:keepLines w:val="0"/>
        <w:pageBreakBefore w:val="0"/>
        <w:widowControl/>
        <w:numPr>
          <w:ilvl w:val="0"/>
          <w:numId w:val="0"/>
        </w:numPr>
        <w:kinsoku/>
        <w:wordWrap/>
        <w:overflowPunct/>
        <w:topLinePunct w:val="0"/>
        <w:autoSpaceDE/>
        <w:autoSpaceDN/>
        <w:bidi w:val="0"/>
        <w:adjustRightInd/>
        <w:snapToGrid/>
        <w:spacing w:line="640" w:lineRule="exact"/>
        <w:ind w:leftChars="0" w:right="0" w:rightChars="0" w:firstLine="640" w:firstLineChars="200"/>
        <w:jc w:val="both"/>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负责</w:t>
      </w:r>
      <w:r>
        <w:rPr>
          <w:rFonts w:hint="eastAsia" w:ascii="仿宋_GB2312" w:hAnsi="仿宋_GB2312" w:eastAsia="仿宋_GB2312" w:cs="仿宋_GB2312"/>
          <w:b w:val="0"/>
          <w:bCs w:val="0"/>
          <w:sz w:val="32"/>
          <w:szCs w:val="32"/>
          <w:lang w:eastAsia="zh-CN"/>
        </w:rPr>
        <w:t>指导实施</w:t>
      </w:r>
      <w:r>
        <w:rPr>
          <w:rFonts w:hint="eastAsia" w:ascii="仿宋_GB2312" w:hAnsi="仿宋_GB2312" w:eastAsia="仿宋_GB2312" w:cs="仿宋_GB2312"/>
          <w:b w:val="0"/>
          <w:bCs w:val="0"/>
          <w:sz w:val="32"/>
          <w:szCs w:val="32"/>
        </w:rPr>
        <w:t>药品、医疗器械和化妆品监督检查</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实施问题产品召回和处置制度。</w:t>
      </w:r>
    </w:p>
    <w:p>
      <w:pPr>
        <w:keepNext w:val="0"/>
        <w:keepLines w:val="0"/>
        <w:pageBreakBefore w:val="0"/>
        <w:widowControl/>
        <w:numPr>
          <w:ilvl w:val="0"/>
          <w:numId w:val="0"/>
        </w:numPr>
        <w:kinsoku/>
        <w:wordWrap/>
        <w:overflowPunct/>
        <w:topLinePunct w:val="0"/>
        <w:autoSpaceDE/>
        <w:autoSpaceDN/>
        <w:bidi w:val="0"/>
        <w:adjustRightInd/>
        <w:snapToGrid/>
        <w:spacing w:line="640" w:lineRule="exact"/>
        <w:ind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pacing w:val="-7"/>
          <w:sz w:val="32"/>
          <w:szCs w:val="32"/>
          <w:lang w:eastAsia="zh-CN"/>
        </w:rPr>
        <w:t>完成局领导交办的其他任务。</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0"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（五）产品质量股</w:t>
      </w:r>
    </w:p>
    <w:p>
      <w:pPr>
        <w:keepNext w:val="0"/>
        <w:keepLines w:val="0"/>
        <w:pageBreakBefore w:val="0"/>
        <w:widowControl w:val="0"/>
        <w:numPr>
          <w:ilvl w:val="0"/>
          <w:numId w:val="3"/>
        </w:numPr>
        <w:kinsoku/>
        <w:wordWrap/>
        <w:overflowPunct/>
        <w:topLinePunct w:val="0"/>
        <w:autoSpaceDE/>
        <w:autoSpaceDN/>
        <w:bidi w:val="0"/>
        <w:adjustRightInd/>
        <w:snapToGrid/>
        <w:spacing w:line="640" w:lineRule="exact"/>
        <w:ind w:left="0" w:leftChars="0" w:firstLine="640" w:firstLineChars="200"/>
        <w:jc w:val="both"/>
        <w:textAlignment w:val="auto"/>
        <w:outlineLvl w:val="9"/>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lang w:val="en-US" w:eastAsia="zh-CN"/>
        </w:rPr>
        <w:t>指导街道市场监管所</w:t>
      </w:r>
      <w:r>
        <w:rPr>
          <w:rFonts w:hint="eastAsia" w:ascii="仿宋_GB2312" w:hAnsi="仿宋_GB2312" w:eastAsia="仿宋_GB2312" w:cs="仿宋_GB2312"/>
          <w:b w:val="0"/>
          <w:bCs w:val="0"/>
          <w:kern w:val="0"/>
          <w:sz w:val="32"/>
          <w:szCs w:val="32"/>
        </w:rPr>
        <w:t>协助辖区宏观质量管理工作。</w:t>
      </w:r>
      <w:r>
        <w:rPr>
          <w:rFonts w:hint="eastAsia" w:ascii="仿宋_GB2312" w:hAnsi="仿宋_GB2312" w:eastAsia="仿宋_GB2312" w:cs="仿宋_GB2312"/>
          <w:b w:val="0"/>
          <w:bCs w:val="0"/>
          <w:kern w:val="0"/>
          <w:sz w:val="32"/>
          <w:szCs w:val="32"/>
          <w:lang w:eastAsia="zh-CN"/>
        </w:rPr>
        <w:t>指导</w:t>
      </w:r>
      <w:r>
        <w:rPr>
          <w:rFonts w:hint="eastAsia" w:ascii="仿宋_GB2312" w:hAnsi="仿宋_GB2312" w:eastAsia="仿宋_GB2312" w:cs="仿宋_GB2312"/>
          <w:b w:val="0"/>
          <w:bCs w:val="0"/>
          <w:kern w:val="0"/>
          <w:sz w:val="32"/>
          <w:szCs w:val="32"/>
        </w:rPr>
        <w:t>协助上级部门做好重大产品质量事故调查，推行缺陷产品召回制度，监督管理产品防伪工作。</w:t>
      </w:r>
    </w:p>
    <w:p>
      <w:pPr>
        <w:keepNext w:val="0"/>
        <w:keepLines w:val="0"/>
        <w:pageBreakBefore w:val="0"/>
        <w:widowControl w:val="0"/>
        <w:numPr>
          <w:ilvl w:val="0"/>
          <w:numId w:val="3"/>
        </w:numPr>
        <w:kinsoku/>
        <w:wordWrap/>
        <w:overflowPunct/>
        <w:topLinePunct w:val="0"/>
        <w:autoSpaceDE/>
        <w:autoSpaceDN/>
        <w:bidi w:val="0"/>
        <w:adjustRightInd/>
        <w:snapToGrid/>
        <w:spacing w:line="640" w:lineRule="exact"/>
        <w:ind w:left="0" w:leftChars="0" w:firstLine="640" w:firstLineChars="200"/>
        <w:jc w:val="both"/>
        <w:textAlignment w:val="auto"/>
        <w:outlineLvl w:val="9"/>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sz w:val="32"/>
          <w:szCs w:val="32"/>
        </w:rPr>
        <w:t>负责</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产品质量安全监督管理。</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实施辖区内产品质量监督抽查、风险监测工作。</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实施质量分级制度、质量安全追溯制度。</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开展纤维质量监督管理工作。</w:t>
      </w:r>
      <w:r>
        <w:rPr>
          <w:rFonts w:hint="eastAsia" w:ascii="仿宋_GB2312" w:hAnsi="仿宋_GB2312" w:eastAsia="仿宋_GB2312" w:cs="仿宋_GB2312"/>
          <w:b w:val="0"/>
          <w:bCs w:val="0"/>
          <w:sz w:val="32"/>
          <w:szCs w:val="32"/>
          <w:lang w:eastAsia="zh-CN"/>
        </w:rPr>
        <w:t>指导街道市场监管所</w:t>
      </w:r>
      <w:r>
        <w:rPr>
          <w:rFonts w:hint="eastAsia" w:ascii="仿宋_GB2312" w:hAnsi="仿宋_GB2312" w:eastAsia="仿宋_GB2312" w:cs="仿宋_GB2312"/>
          <w:b w:val="0"/>
          <w:bCs w:val="0"/>
          <w:sz w:val="32"/>
          <w:szCs w:val="32"/>
        </w:rPr>
        <w:t>协助工业产品生产许可管理。</w:t>
      </w:r>
    </w:p>
    <w:p>
      <w:pPr>
        <w:keepNext w:val="0"/>
        <w:keepLines w:val="0"/>
        <w:pageBreakBefore w:val="0"/>
        <w:widowControl w:val="0"/>
        <w:numPr>
          <w:ilvl w:val="0"/>
          <w:numId w:val="3"/>
        </w:numPr>
        <w:kinsoku/>
        <w:wordWrap/>
        <w:overflowPunct/>
        <w:topLinePunct w:val="0"/>
        <w:autoSpaceDE/>
        <w:autoSpaceDN/>
        <w:bidi w:val="0"/>
        <w:adjustRightInd/>
        <w:snapToGrid/>
        <w:spacing w:line="640" w:lineRule="exact"/>
        <w:ind w:left="0" w:leftChars="0" w:firstLine="640" w:firstLineChars="200"/>
        <w:jc w:val="both"/>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负责</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特种设备安全监督管理。</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综合管理辖区内特种设备安全监察、监督工作。</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监督检查高耗能特种设备节能标准和锅炉环境保护标准的执行情况。</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 xml:space="preserve">配合做好特种设备安全事故调查工作。 </w:t>
      </w:r>
    </w:p>
    <w:p>
      <w:pPr>
        <w:keepNext w:val="0"/>
        <w:keepLines w:val="0"/>
        <w:pageBreakBefore w:val="0"/>
        <w:widowControl w:val="0"/>
        <w:numPr>
          <w:ilvl w:val="0"/>
          <w:numId w:val="3"/>
        </w:numPr>
        <w:kinsoku/>
        <w:wordWrap/>
        <w:overflowPunct/>
        <w:topLinePunct w:val="0"/>
        <w:autoSpaceDE/>
        <w:autoSpaceDN/>
        <w:bidi w:val="0"/>
        <w:adjustRightInd/>
        <w:snapToGrid/>
        <w:spacing w:line="640" w:lineRule="exact"/>
        <w:ind w:left="0" w:leftChars="0" w:firstLine="640" w:firstLineChars="200"/>
        <w:jc w:val="both"/>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负责</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统一管理计量工作。</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贯彻执行国家计量制度，推行法定计量单位，依职责管理计量器具及量值传递溯源和比对工作。</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规范、监督商品量和市场计量行为。</w:t>
      </w:r>
    </w:p>
    <w:p>
      <w:pPr>
        <w:keepNext w:val="0"/>
        <w:keepLines w:val="0"/>
        <w:pageBreakBefore w:val="0"/>
        <w:widowControl w:val="0"/>
        <w:numPr>
          <w:ilvl w:val="0"/>
          <w:numId w:val="3"/>
        </w:numPr>
        <w:kinsoku/>
        <w:wordWrap/>
        <w:overflowPunct/>
        <w:topLinePunct w:val="0"/>
        <w:autoSpaceDE/>
        <w:autoSpaceDN/>
        <w:bidi w:val="0"/>
        <w:adjustRightInd/>
        <w:snapToGrid/>
        <w:spacing w:line="640" w:lineRule="exact"/>
        <w:ind w:left="0" w:leftChars="0" w:firstLine="640" w:firstLineChars="200"/>
        <w:jc w:val="both"/>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负责</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统一管理标准化工作。</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依法对标准的实施进行监督检查。</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依法组织实施国家、行业及地方标准，实施标准化发展战略，规范标准化活动。</w:t>
      </w:r>
    </w:p>
    <w:p>
      <w:pPr>
        <w:keepNext w:val="0"/>
        <w:keepLines w:val="0"/>
        <w:pageBreakBefore w:val="0"/>
        <w:widowControl w:val="0"/>
        <w:numPr>
          <w:ilvl w:val="0"/>
          <w:numId w:val="3"/>
        </w:numPr>
        <w:kinsoku/>
        <w:wordWrap/>
        <w:overflowPunct/>
        <w:topLinePunct w:val="0"/>
        <w:autoSpaceDE/>
        <w:autoSpaceDN/>
        <w:bidi w:val="0"/>
        <w:adjustRightInd/>
        <w:snapToGrid/>
        <w:spacing w:line="640" w:lineRule="exact"/>
        <w:ind w:left="0" w:leftChars="0" w:firstLine="640" w:firstLineChars="200"/>
        <w:jc w:val="both"/>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负责指导监督管理认证认可与检验检测工作。指导实施认证认可与检验检测监督管理的制度措施。指导依法监督管理认证认可与检验检测工作。</w:t>
      </w:r>
    </w:p>
    <w:p>
      <w:pPr>
        <w:keepNext w:val="0"/>
        <w:keepLines w:val="0"/>
        <w:pageBreakBefore w:val="0"/>
        <w:widowControl w:val="0"/>
        <w:numPr>
          <w:ilvl w:val="0"/>
          <w:numId w:val="3"/>
        </w:numPr>
        <w:kinsoku/>
        <w:wordWrap/>
        <w:overflowPunct/>
        <w:topLinePunct w:val="0"/>
        <w:autoSpaceDE/>
        <w:autoSpaceDN/>
        <w:bidi w:val="0"/>
        <w:adjustRightInd/>
        <w:snapToGrid/>
        <w:spacing w:line="640" w:lineRule="exact"/>
        <w:ind w:left="0" w:leftChars="0" w:firstLine="640" w:firstLineChars="200"/>
        <w:jc w:val="both"/>
        <w:textAlignment w:val="auto"/>
        <w:outlineLvl w:val="9"/>
        <w:rPr>
          <w:rFonts w:hint="eastAsia" w:ascii="仿宋_GB2312" w:hAnsi="仿宋_GB2312" w:eastAsia="仿宋_GB2312" w:cs="仿宋_GB2312"/>
          <w:b w:val="0"/>
          <w:bCs w:val="0"/>
          <w:color w:val="auto"/>
          <w:kern w:val="0"/>
          <w:sz w:val="32"/>
          <w:szCs w:val="32"/>
          <w:lang w:eastAsia="zh-CN"/>
        </w:rPr>
      </w:pPr>
      <w:r>
        <w:rPr>
          <w:rFonts w:hint="eastAsia" w:ascii="仿宋_GB2312" w:hAnsi="仿宋_GB2312" w:eastAsia="仿宋_GB2312" w:cs="仿宋_GB2312"/>
          <w:b w:val="0"/>
          <w:bCs w:val="0"/>
          <w:color w:val="auto"/>
          <w:kern w:val="0"/>
          <w:sz w:val="32"/>
          <w:szCs w:val="32"/>
          <w:lang w:eastAsia="zh-CN"/>
        </w:rPr>
        <w:t>负责指导</w:t>
      </w:r>
      <w:r>
        <w:rPr>
          <w:rFonts w:hint="eastAsia" w:ascii="仿宋_GB2312" w:hAnsi="仿宋_GB2312" w:eastAsia="仿宋_GB2312" w:cs="仿宋_GB2312"/>
          <w:b w:val="0"/>
          <w:bCs w:val="0"/>
          <w:color w:val="auto"/>
          <w:kern w:val="0"/>
          <w:sz w:val="32"/>
          <w:szCs w:val="32"/>
        </w:rPr>
        <w:t>应急管理、安全生产</w:t>
      </w:r>
      <w:r>
        <w:rPr>
          <w:rFonts w:hint="eastAsia" w:ascii="仿宋_GB2312" w:hAnsi="仿宋_GB2312" w:eastAsia="仿宋_GB2312" w:cs="仿宋_GB2312"/>
          <w:b w:val="0"/>
          <w:bCs w:val="0"/>
          <w:color w:val="auto"/>
          <w:kern w:val="0"/>
          <w:sz w:val="32"/>
          <w:szCs w:val="32"/>
          <w:lang w:eastAsia="zh-CN"/>
        </w:rPr>
        <w:t>。</w:t>
      </w:r>
    </w:p>
    <w:p>
      <w:pPr>
        <w:keepNext w:val="0"/>
        <w:keepLines w:val="0"/>
        <w:pageBreakBefore w:val="0"/>
        <w:widowControl/>
        <w:numPr>
          <w:ilvl w:val="0"/>
          <w:numId w:val="3"/>
        </w:numPr>
        <w:kinsoku/>
        <w:wordWrap/>
        <w:overflowPunct/>
        <w:topLinePunct w:val="0"/>
        <w:autoSpaceDE/>
        <w:autoSpaceDN/>
        <w:bidi w:val="0"/>
        <w:adjustRightInd/>
        <w:snapToGrid/>
        <w:spacing w:line="64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负责</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促进知识产权运用和知识产权保护。</w:t>
      </w:r>
      <w:r>
        <w:rPr>
          <w:rFonts w:hint="eastAsia" w:ascii="仿宋_GB2312" w:hAnsi="仿宋_GB2312" w:eastAsia="仿宋_GB2312" w:cs="仿宋_GB2312"/>
          <w:b w:val="0"/>
          <w:bCs w:val="0"/>
          <w:sz w:val="32"/>
          <w:szCs w:val="32"/>
          <w:lang w:eastAsia="zh-CN"/>
        </w:rPr>
        <w:t>指导</w:t>
      </w:r>
      <w:r>
        <w:rPr>
          <w:rFonts w:hint="eastAsia" w:ascii="仿宋_GB2312" w:hAnsi="仿宋_GB2312" w:eastAsia="仿宋_GB2312" w:cs="仿宋_GB2312"/>
          <w:b w:val="0"/>
          <w:bCs w:val="0"/>
          <w:sz w:val="32"/>
          <w:szCs w:val="32"/>
        </w:rPr>
        <w:t>实施严格保护商标、专利、地理标志等知识产权制度措施。指导</w:t>
      </w:r>
      <w:r>
        <w:rPr>
          <w:rFonts w:hint="eastAsia" w:ascii="仿宋_GB2312" w:hAnsi="仿宋_GB2312" w:eastAsia="仿宋_GB2312" w:cs="仿宋_GB2312"/>
          <w:b w:val="0"/>
          <w:bCs w:val="0"/>
          <w:sz w:val="32"/>
          <w:szCs w:val="32"/>
          <w:lang w:eastAsia="zh-CN"/>
        </w:rPr>
        <w:t>街道市场监管所</w:t>
      </w:r>
      <w:r>
        <w:rPr>
          <w:rFonts w:hint="eastAsia" w:ascii="仿宋_GB2312" w:hAnsi="仿宋_GB2312" w:eastAsia="仿宋_GB2312" w:cs="仿宋_GB2312"/>
          <w:b w:val="0"/>
          <w:bCs w:val="0"/>
          <w:sz w:val="32"/>
          <w:szCs w:val="32"/>
        </w:rPr>
        <w:t>协助知识产权争议处理、维权援助和纠纷调处。</w:t>
      </w:r>
    </w:p>
    <w:p>
      <w:pPr>
        <w:keepNext w:val="0"/>
        <w:keepLines w:val="0"/>
        <w:pageBreakBefore w:val="0"/>
        <w:widowControl/>
        <w:numPr>
          <w:ilvl w:val="0"/>
          <w:numId w:val="3"/>
        </w:numPr>
        <w:kinsoku/>
        <w:wordWrap/>
        <w:overflowPunct/>
        <w:topLinePunct w:val="0"/>
        <w:autoSpaceDE/>
        <w:autoSpaceDN/>
        <w:bidi w:val="0"/>
        <w:adjustRightInd/>
        <w:snapToGrid/>
        <w:spacing w:line="640" w:lineRule="exact"/>
        <w:ind w:left="0" w:leftChars="0" w:right="0" w:rightChars="0" w:firstLine="612" w:firstLineChars="200"/>
        <w:jc w:val="both"/>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lang w:eastAsia="zh-CN"/>
        </w:rPr>
        <w:t>完成局领导交办的其他任务。</w:t>
      </w:r>
    </w:p>
    <w:p>
      <w:pPr>
        <w:keepNext w:val="0"/>
        <w:keepLines w:val="0"/>
        <w:pageBreakBefore w:val="0"/>
        <w:widowControl/>
        <w:numPr>
          <w:ilvl w:val="0"/>
          <w:numId w:val="0"/>
        </w:numPr>
        <w:kinsoku/>
        <w:wordWrap/>
        <w:overflowPunct/>
        <w:topLinePunct w:val="0"/>
        <w:autoSpaceDE/>
        <w:autoSpaceDN/>
        <w:bidi w:val="0"/>
        <w:adjustRightInd/>
        <w:snapToGrid/>
        <w:spacing w:line="640" w:lineRule="exact"/>
        <w:ind w:leftChars="0"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rPr>
      </w:pPr>
      <w:r>
        <w:rPr>
          <w:rFonts w:hint="eastAsia" w:ascii="仿宋_GB2312" w:hAnsi="仿宋_GB2312" w:eastAsia="仿宋_GB2312" w:cs="仿宋_GB2312"/>
          <w:b w:val="0"/>
          <w:bCs w:val="0"/>
          <w:color w:val="auto"/>
          <w:kern w:val="0"/>
          <w:sz w:val="32"/>
          <w:szCs w:val="32"/>
          <w:lang w:eastAsia="zh-CN"/>
        </w:rPr>
        <w:t>（六）法规股</w:t>
      </w:r>
    </w:p>
    <w:p>
      <w:pPr>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jc w:val="both"/>
        <w:textAlignment w:val="auto"/>
        <w:outlineLvl w:val="9"/>
        <w:rPr>
          <w:rFonts w:hint="eastAsia" w:ascii="仿宋_GB2312" w:hAnsi="仿宋_GB2312" w:eastAsia="仿宋_GB2312" w:cs="仿宋_GB2312"/>
          <w:b w:val="0"/>
          <w:bCs w:val="0"/>
          <w:spacing w:val="-7"/>
          <w:sz w:val="32"/>
          <w:szCs w:val="32"/>
          <w:lang w:eastAsia="zh-CN"/>
        </w:rPr>
      </w:pPr>
      <w:r>
        <w:rPr>
          <w:rFonts w:hint="eastAsia" w:ascii="仿宋_GB2312" w:hAnsi="仿宋_GB2312" w:eastAsia="仿宋_GB2312" w:cs="仿宋_GB2312"/>
          <w:b w:val="0"/>
          <w:bCs w:val="0"/>
          <w:color w:val="auto"/>
          <w:kern w:val="0"/>
          <w:sz w:val="32"/>
          <w:szCs w:val="32"/>
          <w:lang w:val="en-US" w:eastAsia="zh-CN"/>
        </w:rPr>
        <w:t>依法对本系统行政执法案件进行审核，负责行政执法案卷归档管理等事项。</w:t>
      </w:r>
      <w:r>
        <w:rPr>
          <w:rFonts w:hint="eastAsia" w:ascii="仿宋_GB2312" w:hAnsi="仿宋_GB2312" w:eastAsia="仿宋_GB2312" w:cs="仿宋_GB2312"/>
          <w:b w:val="0"/>
          <w:bCs w:val="0"/>
          <w:color w:val="auto"/>
          <w:kern w:val="0"/>
          <w:sz w:val="32"/>
          <w:szCs w:val="32"/>
          <w:lang w:eastAsia="zh-CN"/>
        </w:rPr>
        <w:t>指导有关行政复议、行政应诉行政处罚听证和行政赔偿工作。组织开展法治宣传教育工作。负责局内部合同的审核工作，公平竞争审查、法治政府建设等。</w:t>
      </w:r>
      <w:r>
        <w:rPr>
          <w:rFonts w:hint="eastAsia" w:ascii="仿宋_GB2312" w:hAnsi="仿宋_GB2312" w:eastAsia="仿宋_GB2312" w:cs="仿宋_GB2312"/>
          <w:b w:val="0"/>
          <w:bCs w:val="0"/>
          <w:spacing w:val="-7"/>
          <w:sz w:val="32"/>
          <w:szCs w:val="32"/>
          <w:lang w:eastAsia="zh-CN"/>
        </w:rPr>
        <w:t>完成局领导交办的其他任务。</w:t>
      </w:r>
    </w:p>
    <w:p>
      <w:pPr>
        <w:keepNext w:val="0"/>
        <w:keepLines w:val="0"/>
        <w:pageBreakBefore w:val="0"/>
        <w:widowControl/>
        <w:numPr>
          <w:ilvl w:val="0"/>
          <w:numId w:val="0"/>
        </w:numPr>
        <w:kinsoku/>
        <w:wordWrap/>
        <w:overflowPunct/>
        <w:topLinePunct w:val="0"/>
        <w:autoSpaceDE/>
        <w:autoSpaceDN/>
        <w:bidi w:val="0"/>
        <w:adjustRightInd/>
        <w:snapToGrid/>
        <w:spacing w:line="640" w:lineRule="exact"/>
        <w:ind w:leftChars="0"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eastAsia="zh-CN"/>
        </w:rPr>
        <w:t>（七）</w:t>
      </w:r>
      <w:r>
        <w:rPr>
          <w:rFonts w:hint="eastAsia" w:ascii="仿宋_GB2312" w:hAnsi="仿宋_GB2312" w:eastAsia="仿宋_GB2312" w:cs="仿宋_GB2312"/>
          <w:b w:val="0"/>
          <w:bCs w:val="0"/>
          <w:color w:val="auto"/>
          <w:kern w:val="0"/>
          <w:sz w:val="32"/>
          <w:szCs w:val="32"/>
          <w:lang w:val="en-US" w:eastAsia="zh-CN"/>
        </w:rPr>
        <w:t>信息中心</w:t>
      </w:r>
    </w:p>
    <w:p>
      <w:pPr>
        <w:keepNext w:val="0"/>
        <w:keepLines w:val="0"/>
        <w:pageBreakBefore w:val="0"/>
        <w:widowControl/>
        <w:numPr>
          <w:ilvl w:val="0"/>
          <w:numId w:val="0"/>
        </w:numPr>
        <w:kinsoku/>
        <w:wordWrap/>
        <w:overflowPunct/>
        <w:topLinePunct w:val="0"/>
        <w:autoSpaceDE/>
        <w:autoSpaceDN/>
        <w:bidi w:val="0"/>
        <w:adjustRightInd/>
        <w:snapToGrid/>
        <w:spacing w:line="640" w:lineRule="exact"/>
        <w:ind w:leftChars="0" w:right="0" w:rightChars="0" w:firstLine="640" w:firstLineChars="200"/>
        <w:jc w:val="both"/>
        <w:textAlignment w:val="auto"/>
        <w:outlineLvl w:val="9"/>
        <w:rPr>
          <w:rFonts w:hint="eastAsia" w:ascii="仿宋_GB2312" w:hAnsi="仿宋_GB2312" w:eastAsia="仿宋_GB2312" w:cs="仿宋_GB2312"/>
          <w:b w:val="0"/>
          <w:bCs w:val="0"/>
          <w:spacing w:val="-7"/>
          <w:sz w:val="32"/>
          <w:szCs w:val="32"/>
          <w:lang w:eastAsia="zh-CN"/>
        </w:rPr>
      </w:pPr>
      <w:r>
        <w:rPr>
          <w:rFonts w:hint="eastAsia" w:ascii="仿宋_GB2312" w:hAnsi="仿宋_GB2312" w:eastAsia="仿宋_GB2312" w:cs="仿宋_GB2312"/>
          <w:b w:val="0"/>
          <w:bCs w:val="0"/>
          <w:color w:val="auto"/>
          <w:kern w:val="0"/>
          <w:sz w:val="32"/>
          <w:szCs w:val="32"/>
          <w:lang w:eastAsia="zh-CN"/>
        </w:rPr>
        <w:t>负责</w:t>
      </w:r>
      <w:r>
        <w:rPr>
          <w:rFonts w:hint="eastAsia" w:ascii="仿宋_GB2312" w:hAnsi="仿宋_GB2312" w:eastAsia="仿宋_GB2312" w:cs="仿宋_GB2312"/>
          <w:b w:val="0"/>
          <w:bCs w:val="0"/>
          <w:color w:val="auto"/>
          <w:kern w:val="0"/>
          <w:sz w:val="32"/>
          <w:szCs w:val="32"/>
        </w:rPr>
        <w:t>热线投诉分派工作，</w:t>
      </w:r>
      <w:r>
        <w:rPr>
          <w:rFonts w:hint="eastAsia" w:ascii="仿宋_GB2312" w:hAnsi="仿宋_GB2312" w:eastAsia="仿宋_GB2312" w:cs="仿宋_GB2312"/>
          <w:b w:val="0"/>
          <w:bCs w:val="0"/>
          <w:color w:val="auto"/>
          <w:kern w:val="0"/>
          <w:sz w:val="32"/>
          <w:szCs w:val="32"/>
          <w:lang w:eastAsia="zh-CN"/>
        </w:rPr>
        <w:t>指导</w:t>
      </w:r>
      <w:r>
        <w:rPr>
          <w:rFonts w:hint="eastAsia" w:ascii="仿宋_GB2312" w:hAnsi="仿宋_GB2312" w:eastAsia="仿宋_GB2312" w:cs="仿宋_GB2312"/>
          <w:b w:val="0"/>
          <w:bCs w:val="0"/>
          <w:color w:val="auto"/>
          <w:kern w:val="0"/>
          <w:sz w:val="32"/>
          <w:szCs w:val="32"/>
        </w:rPr>
        <w:t>开展消费维权工作</w:t>
      </w:r>
      <w:r>
        <w:rPr>
          <w:rFonts w:hint="eastAsia" w:ascii="仿宋_GB2312" w:hAnsi="仿宋_GB2312" w:eastAsia="仿宋_GB2312" w:cs="仿宋_GB2312"/>
          <w:b w:val="0"/>
          <w:bCs w:val="0"/>
          <w:color w:val="auto"/>
          <w:kern w:val="0"/>
          <w:sz w:val="32"/>
          <w:szCs w:val="32"/>
          <w:lang w:eastAsia="zh-CN"/>
        </w:rPr>
        <w:t>，负责</w:t>
      </w:r>
      <w:r>
        <w:rPr>
          <w:rFonts w:hint="eastAsia" w:ascii="仿宋_GB2312" w:hAnsi="仿宋_GB2312" w:eastAsia="仿宋_GB2312" w:cs="仿宋_GB2312"/>
          <w:b w:val="0"/>
          <w:bCs w:val="0"/>
          <w:color w:val="auto"/>
          <w:kern w:val="0"/>
          <w:sz w:val="32"/>
          <w:szCs w:val="32"/>
        </w:rPr>
        <w:t>科技信息</w:t>
      </w:r>
      <w:r>
        <w:rPr>
          <w:rFonts w:hint="eastAsia" w:ascii="仿宋_GB2312" w:hAnsi="仿宋_GB2312" w:eastAsia="仿宋_GB2312" w:cs="仿宋_GB2312"/>
          <w:b w:val="0"/>
          <w:bCs w:val="0"/>
          <w:color w:val="auto"/>
          <w:kern w:val="0"/>
          <w:sz w:val="32"/>
          <w:szCs w:val="32"/>
          <w:lang w:eastAsia="zh-CN"/>
        </w:rPr>
        <w:t>、相关统计系统，</w:t>
      </w:r>
      <w:r>
        <w:rPr>
          <w:rFonts w:hint="eastAsia" w:ascii="仿宋_GB2312" w:hAnsi="仿宋_GB2312" w:eastAsia="仿宋_GB2312" w:cs="仿宋_GB2312"/>
          <w:b w:val="0"/>
          <w:bCs w:val="0"/>
          <w:color w:val="auto"/>
          <w:sz w:val="32"/>
          <w:szCs w:val="32"/>
          <w:lang w:eastAsia="zh-CN"/>
        </w:rPr>
        <w:t>指导</w:t>
      </w:r>
      <w:r>
        <w:rPr>
          <w:rFonts w:hint="eastAsia" w:ascii="仿宋_GB2312" w:hAnsi="仿宋_GB2312" w:eastAsia="仿宋_GB2312" w:cs="仿宋_GB2312"/>
          <w:b w:val="0"/>
          <w:bCs w:val="0"/>
          <w:color w:val="auto"/>
          <w:sz w:val="32"/>
          <w:szCs w:val="32"/>
        </w:rPr>
        <w:t>开展“双随机</w:t>
      </w:r>
      <w:r>
        <w:rPr>
          <w:rFonts w:hint="eastAsia" w:ascii="仿宋_GB2312" w:hAnsi="仿宋_GB2312" w:eastAsia="仿宋_GB2312" w:cs="仿宋_GB2312"/>
          <w:b w:val="0"/>
          <w:bCs w:val="0"/>
          <w:color w:val="auto"/>
          <w:sz w:val="32"/>
          <w:szCs w:val="32"/>
          <w:lang w:eastAsia="zh-CN"/>
        </w:rPr>
        <w:t>、</w:t>
      </w:r>
      <w:bookmarkStart w:id="0" w:name="_GoBack"/>
      <w:bookmarkEnd w:id="0"/>
      <w:r>
        <w:rPr>
          <w:rFonts w:hint="eastAsia" w:ascii="仿宋_GB2312" w:hAnsi="仿宋_GB2312" w:eastAsia="仿宋_GB2312" w:cs="仿宋_GB2312"/>
          <w:b w:val="0"/>
          <w:bCs w:val="0"/>
          <w:color w:val="auto"/>
          <w:sz w:val="32"/>
          <w:szCs w:val="32"/>
        </w:rPr>
        <w:t>一公开”监督检</w:t>
      </w:r>
      <w:r>
        <w:rPr>
          <w:rFonts w:hint="eastAsia" w:ascii="仿宋_GB2312" w:hAnsi="仿宋_GB2312" w:eastAsia="仿宋_GB2312" w:cs="仿宋_GB2312"/>
          <w:b w:val="0"/>
          <w:bCs w:val="0"/>
          <w:sz w:val="32"/>
          <w:szCs w:val="32"/>
        </w:rPr>
        <w:t>查</w:t>
      </w:r>
      <w:r>
        <w:rPr>
          <w:rFonts w:hint="eastAsia" w:ascii="仿宋_GB2312" w:hAnsi="仿宋_GB2312" w:eastAsia="仿宋_GB2312" w:cs="仿宋_GB2312"/>
          <w:b w:val="0"/>
          <w:bCs w:val="0"/>
          <w:sz w:val="32"/>
          <w:szCs w:val="32"/>
          <w:lang w:eastAsia="zh-CN"/>
        </w:rPr>
        <w:t>等</w:t>
      </w:r>
      <w:r>
        <w:rPr>
          <w:rFonts w:hint="eastAsia" w:ascii="仿宋_GB2312" w:hAnsi="仿宋_GB2312" w:eastAsia="仿宋_GB2312" w:cs="仿宋_GB2312"/>
          <w:b w:val="0"/>
          <w:bCs w:val="0"/>
          <w:color w:val="auto"/>
          <w:kern w:val="0"/>
          <w:sz w:val="32"/>
          <w:szCs w:val="32"/>
          <w:lang w:eastAsia="zh-CN"/>
        </w:rPr>
        <w:t>工作。</w:t>
      </w:r>
      <w:r>
        <w:rPr>
          <w:rFonts w:hint="eastAsia" w:ascii="仿宋_GB2312" w:hAnsi="仿宋_GB2312" w:eastAsia="仿宋_GB2312" w:cs="仿宋_GB2312"/>
          <w:b w:val="0"/>
          <w:bCs w:val="0"/>
          <w:spacing w:val="-7"/>
          <w:sz w:val="32"/>
          <w:szCs w:val="32"/>
          <w:lang w:eastAsia="zh-CN"/>
        </w:rPr>
        <w:t>完成局领导交办的其他任务。</w:t>
      </w:r>
    </w:p>
    <w:p>
      <w:pPr>
        <w:keepNext w:val="0"/>
        <w:keepLines w:val="0"/>
        <w:pageBreakBefore w:val="0"/>
        <w:widowControl/>
        <w:numPr>
          <w:ilvl w:val="0"/>
          <w:numId w:val="0"/>
        </w:numPr>
        <w:kinsoku/>
        <w:wordWrap/>
        <w:overflowPunct/>
        <w:topLinePunct w:val="0"/>
        <w:autoSpaceDE/>
        <w:autoSpaceDN/>
        <w:bidi w:val="0"/>
        <w:adjustRightInd/>
        <w:snapToGrid/>
        <w:spacing w:line="640" w:lineRule="exact"/>
        <w:ind w:leftChars="0"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sz w:val="32"/>
          <w:szCs w:val="32"/>
          <w:lang w:val="en-US" w:eastAsia="zh-CN"/>
        </w:rPr>
        <w:t>（八）综合执法中队</w:t>
      </w:r>
    </w:p>
    <w:p>
      <w:pPr>
        <w:keepNext w:val="0"/>
        <w:keepLines w:val="0"/>
        <w:pageBreakBefore w:val="0"/>
        <w:kinsoku/>
        <w:wordWrap/>
        <w:overflowPunct/>
        <w:topLinePunct w:val="0"/>
        <w:autoSpaceDE/>
        <w:autoSpaceDN/>
        <w:bidi w:val="0"/>
        <w:adjustRightInd/>
        <w:snapToGrid/>
        <w:spacing w:line="640" w:lineRule="exact"/>
        <w:ind w:leftChars="0" w:firstLine="612" w:firstLineChars="200"/>
        <w:jc w:val="both"/>
        <w:textAlignment w:val="auto"/>
        <w:rPr>
          <w:rFonts w:hint="eastAsia" w:ascii="仿宋_GB2312" w:hAnsi="仿宋_GB2312" w:eastAsia="仿宋_GB2312" w:cs="仿宋_GB2312"/>
          <w:b w:val="0"/>
          <w:bCs w:val="0"/>
          <w:spacing w:val="-7"/>
          <w:sz w:val="32"/>
          <w:szCs w:val="32"/>
          <w:lang w:eastAsia="zh-CN"/>
        </w:rPr>
      </w:pPr>
      <w:r>
        <w:rPr>
          <w:rFonts w:hint="eastAsia" w:ascii="仿宋_GB2312" w:hAnsi="仿宋_GB2312" w:eastAsia="仿宋_GB2312" w:cs="仿宋_GB2312"/>
          <w:b w:val="0"/>
          <w:bCs w:val="0"/>
          <w:spacing w:val="-7"/>
          <w:sz w:val="32"/>
          <w:szCs w:val="32"/>
          <w:lang w:val="en-US" w:eastAsia="zh-CN"/>
        </w:rPr>
        <w:t>1.</w:t>
      </w:r>
      <w:r>
        <w:rPr>
          <w:rFonts w:hint="eastAsia" w:ascii="仿宋_GB2312" w:hAnsi="仿宋_GB2312" w:eastAsia="仿宋_GB2312" w:cs="仿宋_GB2312"/>
          <w:b w:val="0"/>
          <w:bCs w:val="0"/>
          <w:spacing w:val="-7"/>
          <w:sz w:val="32"/>
          <w:szCs w:val="32"/>
          <w:lang w:eastAsia="zh-CN"/>
        </w:rPr>
        <w:t>开展市场监督执法和知识产权行政执法行为，负责查处重大违法案件。</w:t>
      </w:r>
    </w:p>
    <w:p>
      <w:pPr>
        <w:keepNext w:val="0"/>
        <w:keepLines w:val="0"/>
        <w:pageBreakBefore w:val="0"/>
        <w:kinsoku/>
        <w:wordWrap/>
        <w:overflowPunct/>
        <w:topLinePunct w:val="0"/>
        <w:autoSpaceDE/>
        <w:autoSpaceDN/>
        <w:bidi w:val="0"/>
        <w:adjustRightInd/>
        <w:snapToGrid/>
        <w:spacing w:line="640" w:lineRule="exact"/>
        <w:ind w:leftChars="0" w:firstLine="612" w:firstLineChars="200"/>
        <w:jc w:val="both"/>
        <w:textAlignment w:val="auto"/>
        <w:rPr>
          <w:rFonts w:hint="eastAsia" w:ascii="仿宋_GB2312" w:hAnsi="仿宋_GB2312" w:eastAsia="仿宋_GB2312" w:cs="仿宋_GB2312"/>
          <w:b w:val="0"/>
          <w:bCs w:val="0"/>
          <w:spacing w:val="-7"/>
          <w:sz w:val="32"/>
          <w:szCs w:val="32"/>
          <w:lang w:eastAsia="zh-CN"/>
        </w:rPr>
      </w:pPr>
      <w:r>
        <w:rPr>
          <w:rFonts w:hint="eastAsia" w:ascii="仿宋_GB2312" w:hAnsi="仿宋_GB2312" w:eastAsia="仿宋_GB2312" w:cs="仿宋_GB2312"/>
          <w:b w:val="0"/>
          <w:bCs w:val="0"/>
          <w:spacing w:val="-7"/>
          <w:sz w:val="32"/>
          <w:szCs w:val="32"/>
          <w:lang w:val="en-US" w:eastAsia="zh-CN"/>
        </w:rPr>
        <w:t>2.</w:t>
      </w:r>
      <w:r>
        <w:rPr>
          <w:rFonts w:hint="eastAsia" w:ascii="仿宋_GB2312" w:hAnsi="仿宋_GB2312" w:eastAsia="仿宋_GB2312" w:cs="仿宋_GB2312"/>
          <w:b w:val="0"/>
          <w:bCs w:val="0"/>
          <w:spacing w:val="-7"/>
          <w:sz w:val="32"/>
          <w:szCs w:val="32"/>
          <w:lang w:eastAsia="zh-CN"/>
        </w:rPr>
        <w:t>开展垄断协议、滥用市场支配地位和滥用行政权力排除、限制竞争等反垄断执法工作。</w:t>
      </w:r>
    </w:p>
    <w:p>
      <w:pPr>
        <w:keepNext w:val="0"/>
        <w:keepLines w:val="0"/>
        <w:pageBreakBefore w:val="0"/>
        <w:kinsoku/>
        <w:wordWrap/>
        <w:overflowPunct/>
        <w:topLinePunct w:val="0"/>
        <w:autoSpaceDE/>
        <w:autoSpaceDN/>
        <w:bidi w:val="0"/>
        <w:adjustRightInd/>
        <w:snapToGrid/>
        <w:spacing w:line="640" w:lineRule="exact"/>
        <w:ind w:leftChars="0" w:firstLine="612" w:firstLineChars="200"/>
        <w:jc w:val="both"/>
        <w:textAlignment w:val="auto"/>
        <w:rPr>
          <w:rFonts w:hint="eastAsia" w:ascii="仿宋_GB2312" w:hAnsi="仿宋_GB2312" w:eastAsia="仿宋_GB2312" w:cs="仿宋_GB2312"/>
          <w:b w:val="0"/>
          <w:bCs w:val="0"/>
          <w:spacing w:val="-7"/>
          <w:sz w:val="32"/>
          <w:szCs w:val="32"/>
          <w:lang w:eastAsia="zh-CN"/>
        </w:rPr>
      </w:pPr>
      <w:r>
        <w:rPr>
          <w:rFonts w:hint="eastAsia" w:ascii="仿宋_GB2312" w:hAnsi="仿宋_GB2312" w:eastAsia="仿宋_GB2312" w:cs="仿宋_GB2312"/>
          <w:b w:val="0"/>
          <w:bCs w:val="0"/>
          <w:spacing w:val="-7"/>
          <w:sz w:val="32"/>
          <w:szCs w:val="32"/>
          <w:lang w:val="en-US" w:eastAsia="zh-CN"/>
        </w:rPr>
        <w:t>3.</w:t>
      </w:r>
      <w:r>
        <w:rPr>
          <w:rFonts w:hint="eastAsia" w:ascii="仿宋_GB2312" w:hAnsi="仿宋_GB2312" w:eastAsia="仿宋_GB2312" w:cs="仿宋_GB2312"/>
          <w:b w:val="0"/>
          <w:bCs w:val="0"/>
          <w:sz w:val="32"/>
          <w:szCs w:val="32"/>
          <w:lang w:val="en-US" w:eastAsia="zh-CN"/>
        </w:rPr>
        <w:t>负责指导监督管理辖区市场秩序。指导依法监督管理市场交易、网络商品交易及有关服务的行为。</w:t>
      </w:r>
      <w:r>
        <w:rPr>
          <w:rFonts w:hint="eastAsia" w:ascii="仿宋_GB2312" w:hAnsi="仿宋_GB2312" w:eastAsia="仿宋_GB2312" w:cs="仿宋_GB2312"/>
          <w:b w:val="0"/>
          <w:bCs w:val="0"/>
          <w:spacing w:val="-7"/>
          <w:sz w:val="32"/>
          <w:szCs w:val="32"/>
          <w:lang w:eastAsia="zh-CN"/>
        </w:rPr>
        <w:t>查处价格收费违法违规、不正当竞争、违法直销、传销、违法广告、制售假冒伪劣、侵犯商标专利知识产权等行为。</w:t>
      </w:r>
    </w:p>
    <w:p>
      <w:pPr>
        <w:keepNext w:val="0"/>
        <w:keepLines w:val="0"/>
        <w:pageBreakBefore w:val="0"/>
        <w:kinsoku/>
        <w:wordWrap/>
        <w:overflowPunct/>
        <w:topLinePunct w:val="0"/>
        <w:autoSpaceDE/>
        <w:autoSpaceDN/>
        <w:bidi w:val="0"/>
        <w:adjustRightInd/>
        <w:snapToGrid/>
        <w:spacing w:line="640" w:lineRule="exact"/>
        <w:ind w:leftChars="0" w:firstLine="612" w:firstLineChars="200"/>
        <w:jc w:val="both"/>
        <w:textAlignment w:val="auto"/>
        <w:rPr>
          <w:rFonts w:hint="eastAsia" w:ascii="仿宋_GB2312" w:hAnsi="仿宋_GB2312" w:eastAsia="仿宋_GB2312" w:cs="仿宋_GB2312"/>
          <w:b w:val="0"/>
          <w:bCs w:val="0"/>
          <w:spacing w:val="-7"/>
          <w:sz w:val="32"/>
          <w:szCs w:val="32"/>
          <w:lang w:eastAsia="zh-CN"/>
        </w:rPr>
      </w:pPr>
      <w:r>
        <w:rPr>
          <w:rFonts w:hint="eastAsia" w:ascii="仿宋_GB2312" w:hAnsi="仿宋_GB2312" w:eastAsia="仿宋_GB2312" w:cs="仿宋_GB2312"/>
          <w:b w:val="0"/>
          <w:bCs w:val="0"/>
          <w:spacing w:val="-7"/>
          <w:sz w:val="32"/>
          <w:szCs w:val="32"/>
          <w:lang w:val="en-US" w:eastAsia="zh-CN"/>
        </w:rPr>
        <w:t>4.</w:t>
      </w:r>
      <w:r>
        <w:rPr>
          <w:rFonts w:hint="eastAsia" w:ascii="仿宋_GB2312" w:hAnsi="仿宋_GB2312" w:eastAsia="仿宋_GB2312" w:cs="仿宋_GB2312"/>
          <w:b w:val="0"/>
          <w:bCs w:val="0"/>
          <w:spacing w:val="-7"/>
          <w:sz w:val="32"/>
          <w:szCs w:val="32"/>
          <w:lang w:eastAsia="zh-CN"/>
        </w:rPr>
        <w:t xml:space="preserve">依法承担特种设备安全事故调查工作。 </w:t>
      </w:r>
    </w:p>
    <w:p>
      <w:pPr>
        <w:keepNext w:val="0"/>
        <w:keepLines w:val="0"/>
        <w:pageBreakBefore w:val="0"/>
        <w:kinsoku/>
        <w:wordWrap/>
        <w:overflowPunct/>
        <w:topLinePunct w:val="0"/>
        <w:autoSpaceDE/>
        <w:autoSpaceDN/>
        <w:bidi w:val="0"/>
        <w:adjustRightInd/>
        <w:snapToGrid/>
        <w:spacing w:line="640" w:lineRule="exact"/>
        <w:ind w:leftChars="0" w:firstLine="612" w:firstLineChars="200"/>
        <w:jc w:val="both"/>
        <w:textAlignment w:val="auto"/>
        <w:rPr>
          <w:rFonts w:hint="eastAsia" w:ascii="仿宋_GB2312" w:hAnsi="仿宋_GB2312" w:eastAsia="仿宋_GB2312" w:cs="仿宋_GB2312"/>
          <w:b w:val="0"/>
          <w:bCs w:val="0"/>
          <w:spacing w:val="-7"/>
          <w:sz w:val="32"/>
          <w:szCs w:val="32"/>
          <w:lang w:eastAsia="zh-CN"/>
        </w:rPr>
      </w:pPr>
      <w:r>
        <w:rPr>
          <w:rFonts w:hint="eastAsia" w:ascii="仿宋_GB2312" w:hAnsi="仿宋_GB2312" w:eastAsia="仿宋_GB2312" w:cs="仿宋_GB2312"/>
          <w:b w:val="0"/>
          <w:bCs w:val="0"/>
          <w:spacing w:val="-7"/>
          <w:sz w:val="32"/>
          <w:szCs w:val="32"/>
          <w:lang w:val="en-US" w:eastAsia="zh-CN"/>
        </w:rPr>
        <w:t>5.</w:t>
      </w:r>
      <w:r>
        <w:rPr>
          <w:rFonts w:hint="eastAsia" w:ascii="仿宋_GB2312" w:hAnsi="仿宋_GB2312" w:eastAsia="仿宋_GB2312" w:cs="仿宋_GB2312"/>
          <w:b w:val="0"/>
          <w:bCs w:val="0"/>
          <w:spacing w:val="-7"/>
          <w:sz w:val="32"/>
          <w:szCs w:val="32"/>
          <w:lang w:eastAsia="zh-CN"/>
        </w:rPr>
        <w:t>负责食品安全事件应急处置和调查处理工作。</w:t>
      </w:r>
    </w:p>
    <w:p>
      <w:pPr>
        <w:keepNext w:val="0"/>
        <w:keepLines w:val="0"/>
        <w:pageBreakBefore w:val="0"/>
        <w:kinsoku/>
        <w:wordWrap/>
        <w:overflowPunct/>
        <w:topLinePunct w:val="0"/>
        <w:autoSpaceDE/>
        <w:autoSpaceDN/>
        <w:bidi w:val="0"/>
        <w:adjustRightInd/>
        <w:snapToGrid/>
        <w:spacing w:line="640" w:lineRule="exact"/>
        <w:ind w:leftChars="0" w:firstLine="612" w:firstLineChars="200"/>
        <w:jc w:val="both"/>
        <w:textAlignment w:val="auto"/>
        <w:rPr>
          <w:rFonts w:hint="eastAsia" w:ascii="仿宋_GB2312" w:hAnsi="仿宋_GB2312" w:eastAsia="仿宋_GB2312" w:cs="仿宋_GB2312"/>
          <w:b w:val="0"/>
          <w:bCs w:val="0"/>
          <w:spacing w:val="-7"/>
          <w:sz w:val="32"/>
          <w:szCs w:val="32"/>
          <w:lang w:eastAsia="zh-CN"/>
        </w:rPr>
      </w:pPr>
      <w:r>
        <w:rPr>
          <w:rFonts w:hint="eastAsia" w:ascii="仿宋_GB2312" w:hAnsi="仿宋_GB2312" w:eastAsia="仿宋_GB2312" w:cs="仿宋_GB2312"/>
          <w:b w:val="0"/>
          <w:bCs w:val="0"/>
          <w:spacing w:val="-7"/>
          <w:sz w:val="32"/>
          <w:szCs w:val="32"/>
          <w:lang w:val="en-US" w:eastAsia="zh-CN"/>
        </w:rPr>
        <w:t>6.</w:t>
      </w:r>
      <w:r>
        <w:rPr>
          <w:rFonts w:hint="eastAsia" w:ascii="仿宋_GB2312" w:hAnsi="仿宋_GB2312" w:eastAsia="仿宋_GB2312" w:cs="仿宋_GB2312"/>
          <w:b w:val="0"/>
          <w:bCs w:val="0"/>
          <w:spacing w:val="-7"/>
          <w:sz w:val="32"/>
          <w:szCs w:val="32"/>
          <w:lang w:eastAsia="zh-CN"/>
        </w:rPr>
        <w:t>组织查处无照生产经营和相关无证生产经营行为。</w:t>
      </w:r>
    </w:p>
    <w:p>
      <w:pPr>
        <w:keepNext w:val="0"/>
        <w:keepLines w:val="0"/>
        <w:pageBreakBefore w:val="0"/>
        <w:kinsoku/>
        <w:wordWrap/>
        <w:overflowPunct/>
        <w:topLinePunct w:val="0"/>
        <w:autoSpaceDE/>
        <w:autoSpaceDN/>
        <w:bidi w:val="0"/>
        <w:adjustRightInd/>
        <w:snapToGrid/>
        <w:spacing w:line="640" w:lineRule="exact"/>
        <w:ind w:leftChars="0" w:firstLine="612" w:firstLineChars="200"/>
        <w:jc w:val="both"/>
        <w:textAlignment w:val="auto"/>
        <w:rPr>
          <w:rFonts w:hint="eastAsia" w:ascii="仿宋_GB2312" w:hAnsi="仿宋_GB2312" w:eastAsia="仿宋_GB2312" w:cs="仿宋_GB2312"/>
          <w:b w:val="0"/>
          <w:bCs w:val="0"/>
          <w:spacing w:val="-7"/>
          <w:sz w:val="32"/>
          <w:szCs w:val="32"/>
          <w:lang w:eastAsia="zh-CN"/>
        </w:rPr>
      </w:pPr>
      <w:r>
        <w:rPr>
          <w:rFonts w:hint="eastAsia" w:ascii="仿宋_GB2312" w:hAnsi="仿宋_GB2312" w:eastAsia="仿宋_GB2312" w:cs="仿宋_GB2312"/>
          <w:b w:val="0"/>
          <w:bCs w:val="0"/>
          <w:spacing w:val="-7"/>
          <w:sz w:val="32"/>
          <w:szCs w:val="32"/>
          <w:lang w:val="en-US" w:eastAsia="zh-CN"/>
        </w:rPr>
        <w:t>7.</w:t>
      </w:r>
      <w:r>
        <w:rPr>
          <w:rFonts w:hint="eastAsia" w:ascii="仿宋_GB2312" w:hAnsi="仿宋_GB2312" w:eastAsia="仿宋_GB2312" w:cs="仿宋_GB2312"/>
          <w:b w:val="0"/>
          <w:bCs w:val="0"/>
          <w:spacing w:val="-7"/>
          <w:sz w:val="32"/>
          <w:szCs w:val="32"/>
          <w:lang w:eastAsia="zh-CN"/>
        </w:rPr>
        <w:t>按权限依法查处“四品一械”相关违法行为，完善“四品一械”监管行政执法与刑事司法衔接机制。</w:t>
      </w:r>
    </w:p>
    <w:p>
      <w:pPr>
        <w:keepNext w:val="0"/>
        <w:keepLines w:val="0"/>
        <w:pageBreakBefore w:val="0"/>
        <w:kinsoku/>
        <w:wordWrap/>
        <w:overflowPunct/>
        <w:topLinePunct w:val="0"/>
        <w:autoSpaceDE/>
        <w:autoSpaceDN/>
        <w:bidi w:val="0"/>
        <w:adjustRightInd/>
        <w:snapToGrid/>
        <w:spacing w:line="640" w:lineRule="exact"/>
        <w:ind w:leftChars="0" w:firstLine="640" w:firstLineChars="200"/>
        <w:jc w:val="both"/>
        <w:textAlignment w:val="auto"/>
        <w:rPr>
          <w:rFonts w:hint="eastAsia" w:ascii="仿宋_GB2312" w:hAnsi="仿宋_GB2312" w:eastAsia="仿宋_GB2312" w:cs="仿宋_GB2312"/>
          <w:b w:val="0"/>
          <w:bCs w:val="0"/>
          <w:color w:val="auto"/>
          <w:kern w:val="0"/>
          <w:sz w:val="32"/>
          <w:szCs w:val="32"/>
          <w:lang w:eastAsia="zh-CN"/>
        </w:rPr>
      </w:pPr>
      <w:r>
        <w:rPr>
          <w:rFonts w:hint="eastAsia" w:ascii="仿宋_GB2312" w:hAnsi="仿宋_GB2312" w:eastAsia="仿宋_GB2312" w:cs="仿宋_GB2312"/>
          <w:b w:val="0"/>
          <w:bCs w:val="0"/>
          <w:color w:val="auto"/>
          <w:kern w:val="0"/>
          <w:sz w:val="32"/>
          <w:szCs w:val="32"/>
          <w:lang w:val="en-US" w:eastAsia="zh-CN"/>
        </w:rPr>
        <w:t>8.</w:t>
      </w:r>
      <w:r>
        <w:rPr>
          <w:rFonts w:hint="eastAsia" w:ascii="仿宋_GB2312" w:hAnsi="仿宋_GB2312" w:eastAsia="仿宋_GB2312" w:cs="仿宋_GB2312"/>
          <w:b w:val="0"/>
          <w:bCs w:val="0"/>
          <w:color w:val="auto"/>
          <w:kern w:val="0"/>
          <w:sz w:val="32"/>
          <w:szCs w:val="32"/>
          <w:lang w:eastAsia="zh-CN"/>
        </w:rPr>
        <w:t>落实实施</w:t>
      </w:r>
      <w:r>
        <w:rPr>
          <w:rFonts w:hint="eastAsia" w:ascii="仿宋_GB2312" w:hAnsi="仿宋_GB2312" w:eastAsia="仿宋_GB2312" w:cs="仿宋_GB2312"/>
          <w:b w:val="0"/>
          <w:bCs w:val="0"/>
          <w:color w:val="auto"/>
          <w:kern w:val="0"/>
          <w:sz w:val="32"/>
          <w:szCs w:val="32"/>
        </w:rPr>
        <w:t>创文明城</w:t>
      </w:r>
      <w:r>
        <w:rPr>
          <w:rFonts w:hint="eastAsia" w:ascii="仿宋_GB2312" w:hAnsi="仿宋_GB2312" w:eastAsia="仿宋_GB2312" w:cs="仿宋_GB2312"/>
          <w:b w:val="0"/>
          <w:bCs w:val="0"/>
          <w:color w:val="auto"/>
          <w:kern w:val="0"/>
          <w:sz w:val="32"/>
          <w:szCs w:val="32"/>
          <w:lang w:eastAsia="zh-CN"/>
        </w:rPr>
        <w:t>、巩固卫生城。</w:t>
      </w:r>
    </w:p>
    <w:p>
      <w:pPr>
        <w:keepNext w:val="0"/>
        <w:keepLines w:val="0"/>
        <w:pageBreakBefore w:val="0"/>
        <w:kinsoku/>
        <w:wordWrap/>
        <w:overflowPunct/>
        <w:topLinePunct w:val="0"/>
        <w:autoSpaceDE/>
        <w:autoSpaceDN/>
        <w:bidi w:val="0"/>
        <w:adjustRightInd/>
        <w:snapToGrid/>
        <w:spacing w:line="640" w:lineRule="exact"/>
        <w:ind w:leftChars="0" w:firstLine="612" w:firstLineChars="200"/>
        <w:jc w:val="both"/>
        <w:textAlignment w:val="auto"/>
        <w:rPr>
          <w:rFonts w:hint="eastAsia" w:ascii="仿宋_GB2312" w:hAnsi="仿宋_GB2312" w:eastAsia="仿宋_GB2312" w:cs="仿宋_GB2312"/>
          <w:b w:val="0"/>
          <w:bCs w:val="0"/>
          <w:spacing w:val="-7"/>
          <w:sz w:val="32"/>
          <w:szCs w:val="32"/>
          <w:lang w:val="en-US" w:eastAsia="zh-CN"/>
        </w:rPr>
      </w:pPr>
      <w:r>
        <w:rPr>
          <w:rFonts w:hint="eastAsia" w:ascii="仿宋_GB2312" w:hAnsi="仿宋_GB2312" w:eastAsia="仿宋_GB2312" w:cs="仿宋_GB2312"/>
          <w:b w:val="0"/>
          <w:bCs w:val="0"/>
          <w:spacing w:val="-7"/>
          <w:sz w:val="32"/>
          <w:szCs w:val="32"/>
          <w:lang w:val="en-US" w:eastAsia="zh-CN"/>
        </w:rPr>
        <w:t>9.社会综合治理（平安建设、禁毒、反邪教、扫黑除恶、扫黄打非等工作）。</w:t>
      </w:r>
    </w:p>
    <w:p>
      <w:pPr>
        <w:keepNext w:val="0"/>
        <w:keepLines w:val="0"/>
        <w:pageBreakBefore w:val="0"/>
        <w:kinsoku/>
        <w:wordWrap/>
        <w:overflowPunct/>
        <w:topLinePunct w:val="0"/>
        <w:autoSpaceDE/>
        <w:autoSpaceDN/>
        <w:bidi w:val="0"/>
        <w:adjustRightInd/>
        <w:snapToGrid/>
        <w:spacing w:line="640" w:lineRule="exact"/>
        <w:ind w:leftChars="0" w:firstLine="612" w:firstLineChars="200"/>
        <w:jc w:val="both"/>
        <w:textAlignment w:val="auto"/>
        <w:rPr>
          <w:rFonts w:hint="eastAsia" w:ascii="仿宋_GB2312" w:hAnsi="仿宋_GB2312" w:eastAsia="仿宋_GB2312" w:cs="仿宋_GB2312"/>
          <w:b w:val="0"/>
          <w:bCs w:val="0"/>
          <w:spacing w:val="-7"/>
          <w:sz w:val="32"/>
          <w:szCs w:val="32"/>
          <w:lang w:val="en-US" w:eastAsia="zh-CN"/>
        </w:rPr>
      </w:pPr>
      <w:r>
        <w:rPr>
          <w:rFonts w:hint="eastAsia" w:ascii="仿宋_GB2312" w:hAnsi="仿宋_GB2312" w:eastAsia="仿宋_GB2312" w:cs="仿宋_GB2312"/>
          <w:b w:val="0"/>
          <w:bCs w:val="0"/>
          <w:spacing w:val="-7"/>
          <w:sz w:val="32"/>
          <w:szCs w:val="32"/>
          <w:lang w:val="en-US" w:eastAsia="zh-CN"/>
        </w:rPr>
        <w:t>10.食品抽检后处置工作。</w:t>
      </w:r>
    </w:p>
    <w:p>
      <w:pPr>
        <w:keepNext w:val="0"/>
        <w:keepLines w:val="0"/>
        <w:pageBreakBefore w:val="0"/>
        <w:widowControl/>
        <w:numPr>
          <w:ilvl w:val="0"/>
          <w:numId w:val="0"/>
        </w:numPr>
        <w:kinsoku/>
        <w:wordWrap/>
        <w:overflowPunct/>
        <w:topLinePunct w:val="0"/>
        <w:autoSpaceDE/>
        <w:autoSpaceDN/>
        <w:bidi w:val="0"/>
        <w:adjustRightInd/>
        <w:snapToGrid/>
        <w:spacing w:line="640" w:lineRule="exact"/>
        <w:ind w:leftChars="0" w:right="0" w:rightChars="0" w:firstLine="612" w:firstLineChars="200"/>
        <w:jc w:val="both"/>
        <w:textAlignment w:val="auto"/>
        <w:outlineLvl w:val="9"/>
        <w:rPr>
          <w:rFonts w:hint="eastAsia" w:ascii="仿宋_GB2312" w:hAnsi="仿宋_GB2312" w:eastAsia="仿宋_GB2312" w:cs="仿宋_GB2312"/>
          <w:b w:val="0"/>
          <w:bCs w:val="0"/>
          <w:spacing w:val="-7"/>
          <w:sz w:val="32"/>
          <w:szCs w:val="32"/>
          <w:lang w:val="en-US" w:eastAsia="zh-CN"/>
        </w:rPr>
      </w:pPr>
      <w:r>
        <w:rPr>
          <w:rFonts w:hint="eastAsia" w:ascii="仿宋_GB2312" w:hAnsi="仿宋_GB2312" w:eastAsia="仿宋_GB2312" w:cs="仿宋_GB2312"/>
          <w:b w:val="0"/>
          <w:bCs w:val="0"/>
          <w:spacing w:val="-7"/>
          <w:sz w:val="32"/>
          <w:szCs w:val="32"/>
          <w:lang w:val="en-US" w:eastAsia="zh-CN"/>
        </w:rPr>
        <w:t>11.</w:t>
      </w:r>
      <w:r>
        <w:rPr>
          <w:rFonts w:hint="eastAsia" w:ascii="仿宋_GB2312" w:hAnsi="仿宋_GB2312" w:eastAsia="仿宋_GB2312" w:cs="仿宋_GB2312"/>
          <w:b w:val="0"/>
          <w:bCs w:val="0"/>
          <w:spacing w:val="-7"/>
          <w:sz w:val="32"/>
          <w:szCs w:val="32"/>
          <w:lang w:eastAsia="zh-CN"/>
        </w:rPr>
        <w:t>完成局领导交办的其他任务。</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12" w:firstLineChars="200"/>
        <w:jc w:val="both"/>
        <w:textAlignment w:val="auto"/>
        <w:rPr>
          <w:rFonts w:hint="eastAsia" w:ascii="黑体" w:hAnsi="黑体" w:eastAsia="黑体" w:cs="黑体"/>
          <w:b w:val="0"/>
          <w:bCs w:val="0"/>
          <w:sz w:val="32"/>
          <w:szCs w:val="32"/>
        </w:rPr>
      </w:pPr>
      <w:r>
        <w:rPr>
          <w:rFonts w:hint="eastAsia" w:ascii="黑体" w:hAnsi="黑体" w:eastAsia="黑体" w:cs="黑体"/>
          <w:b w:val="0"/>
          <w:bCs w:val="0"/>
          <w:spacing w:val="-7"/>
          <w:sz w:val="32"/>
          <w:szCs w:val="32"/>
          <w:lang w:eastAsia="zh-CN"/>
        </w:rPr>
        <w:t>二、</w:t>
      </w:r>
      <w:r>
        <w:rPr>
          <w:rFonts w:hint="eastAsia" w:ascii="黑体" w:hAnsi="黑体" w:eastAsia="黑体" w:cs="黑体"/>
          <w:b w:val="0"/>
          <w:bCs w:val="0"/>
          <w:color w:val="000000"/>
          <w:kern w:val="0"/>
          <w:sz w:val="32"/>
          <w:szCs w:val="32"/>
          <w:lang w:val="en-US" w:eastAsia="zh-CN" w:bidi="ar"/>
        </w:rPr>
        <w:t xml:space="preserve">主要职责 </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 xml:space="preserve">（一）负责辖区市场综合监督管理。代拟辖区市场监督管理有关规范性文件草案，制定有关政策、标准，组织实施质量强区战略、食品安全战略、标准化战略、知识产权战略、品牌战略。拟订并组织实施有关规划，规范和维护市场秩序，营造诚实守信、公平竞争的市场环境。 </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 xml:space="preserve">（二）负责辖区市场主体统一登记注册。负责辖区各类企业、农民专业合作社和从事经营活动的单位、个体工商户等市场主体的登记注册。依法公示和共享市场主体有关信息，加强信用监管，推动市场主体信用体系建设。 </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 xml:space="preserve">（三）负责组织和指导辖区市场监督管理综合行政执法工作。指导市场监督管理综合行政执法队伍建设，推动实行统一的市场监管。组织查处重大违法案件。规范市场监督管理和知识产权行政执法行为。 </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 xml:space="preserve">（四）负责反垄断统一执法。统筹推进竞争政策实施，指导实施公平竞争审查制度。协助上级开展垄断协议、滥用市场支配地位和滥用行政权力排除、限制竞争等反垄断执法工作。依法对经营者集中行为进行监督。 </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 xml:space="preserve">（五）负责监督管理辖区市场秩序。依法监督管理市场交易、网络商品交易及有关服务的行为。组织指导查处价格收费违法违规、不正当竞争、违法直销、传销、违法广告、制售假冒伪劣、侵犯商标专利知识产权等行为。指导广告业发展，监督管理广告活动。组织指导消费维权工作，指导消费者咨询、申诉、举报受理、处理和网络体系建设，保护经营者、消费者合法权益。协助柳州消费者权益保护委员会开展消费维权工作。 </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 xml:space="preserve">（六）负责辖区宏观质量管理工作。贯彻落实国家、自治区和柳州市质量发展战略。统筹质量基础设施建设与应用。会同有关部门组织实施重大工程设备质量监理制度，组织辖区重大产品质量事故调查，推行缺陷产品召回制度，监督管理产品防伪工作。 </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 xml:space="preserve">（七）负责产品质量安全监督管理。组织实施辖区内产品质量监 </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 xml:space="preserve">督抽查、风险监测工作。组织实施质量分级制度、质量安全追溯制度。协助开展纤维质量监督管理工作。协助工业产品生产许可管理。 </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 xml:space="preserve">（八）负责特种设备安全监督管理。综合管理辖区内特种设备安全监察、监督工作。监督检查高耗能特种设备节能标准和锅炉环境保护标准的执行情况。依法承担特种设备安全事故调查工作。 </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 xml:space="preserve">（九）负责食品安全监督管理综合协调。统筹指导辖区内食品安全工作。负责食品安全应急体系建设，组织指导食品安全事件应急处置和调查处理工作。完善并落实食品安全重要信息直报制度，承担区食品安全委员会日常工作。 </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 xml:space="preserve">（十）负责食品安全监督管理。建立覆盖辖区内食品生产、流通、消费全过程的监督检查制度和隐患排查治理机制并组织实施，防范区域性、系统性风险。推动建立食品生产经营者落实主体责任的机制，健全食品安全追溯体系。组织开展食品安全监督抽检、风险监测、核查处置和风险预警、风险交流工作。组织实施特殊食品和食盐监督管理。 </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 xml:space="preserve">（十一）负责统一管理计量工作。贯彻执行国家计量制度，推行法定计量单位，依职责管理计量器具及量值传递溯源和比对工作。规范、监督商品量和市场计量行为。 </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 xml:space="preserve">（十二）负责统一管理标准化工作。依法参与地方标准、团体标准制修订工作。依法组织实施国家、行业及地方标准，实施标准化发展战略，规范标准化活动。 </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 xml:space="preserve">（十三）负责统一管理认证认可与检验检测工作。组织实施认证认可与检验检测监督管理的制度措施。推进检验检测机构改革。规划指导辖区认证认可与检验检测行业发展。依法监督管理认证认可与检验检测工作。 </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 xml:space="preserve">（十四）负责市场监督管理科技和信息化建设、新闻宣传、对外交流与合作。参与开展相关工作对外谈判。按规定承担技术性贸易措施有关工作。 </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 xml:space="preserve">（十五）组织指导个体私营经济发展与监督管理。扶持辖区内个体私营经济发展。组织查处无照生产经营和相关无证生产经营行为。配合党委组织部门开展小微企业、个体工商户、专业市场的党建工作。 </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 xml:space="preserve">（十六）负责促进知识产权运用和知识产权保护。归口管理城中区知识产权工作，实施知识产权激励奖励制度、转化运用和交易运营政策措施。负责知识产权无形资产评估工作。推动促进知识产权服务业发展。统筹知识产权公共服务体系建设，推动知识产权信息传播利用。组织实施严格保护商标、专利、地理标志等知识产权制度措施。研究提出知识产权保护体系建设方案并组织实施，推动建设知识产权保护体系。负责组织指导商标、专利执法工作，指导知识产权争议处理、维权援助和纠纷调处。组织指导知识产权风险预测预警和涉外保护工作。组织实施鼓励新领域、新业态、新模式创新的知识产权保护、 管理和服务政策。 </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 xml:space="preserve">（十七）负责辖区内药品（含中药、民族药，下同）、医疗器械和化妆品安全监督管理。监督实施辖区药品、医疗器械、化妆品标准和分类管理制度。监督实施药品、医疗器械地方性标准。配合有关部门实施国家基本药物制度。 </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 xml:space="preserve">（十八）监督实施药品、医疗器械经营质量管理规范。监督实施化妆品经营、使用卫生标准和技术规范。推动落实辖区内药品、医疗器械和化妆品安全企业主体责任。 </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 xml:space="preserve">（十九）负责辖区药品、医疗器械和化妆品上市后风险管理。组织开展辖区内药品不良反应、医疗器械不良事件和化妆品不良反应的监测工作。依法承担药品、医疗器械和化妆品安全风险监测和应急管理工作。 </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 xml:space="preserve">（二十）负责组织实施并指导药品、医疗器械和化妆品监督检查。按权限依法查处药品、医疗器械、化妆品相关违法行为。监督实施问题产品召回和处置制度。完善药品、医疗器械、化妆品监管行政执法与刑事司法衔接机制。 </w:t>
      </w:r>
    </w:p>
    <w:p>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（二十一）完成区委、区人民政府交办的其他任务。</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70AD15"/>
    <w:multiLevelType w:val="singleLevel"/>
    <w:tmpl w:val="8270AD15"/>
    <w:lvl w:ilvl="0" w:tentative="0">
      <w:start w:val="1"/>
      <w:numFmt w:val="chineseCounting"/>
      <w:suff w:val="nothing"/>
      <w:lvlText w:val="%1、"/>
      <w:lvlJc w:val="left"/>
      <w:rPr>
        <w:rFonts w:hint="eastAsia"/>
      </w:rPr>
    </w:lvl>
  </w:abstractNum>
  <w:abstractNum w:abstractNumId="1">
    <w:nsid w:val="6049EBD3"/>
    <w:multiLevelType w:val="singleLevel"/>
    <w:tmpl w:val="6049EBD3"/>
    <w:lvl w:ilvl="0" w:tentative="0">
      <w:start w:val="1"/>
      <w:numFmt w:val="decimal"/>
      <w:suff w:val="nothing"/>
      <w:lvlText w:val="%1."/>
      <w:lvlJc w:val="left"/>
    </w:lvl>
  </w:abstractNum>
  <w:abstractNum w:abstractNumId="2">
    <w:nsid w:val="6049EC69"/>
    <w:multiLevelType w:val="singleLevel"/>
    <w:tmpl w:val="6049EC69"/>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wYzMzZWU4MWNhNTdkNzY2M2IwZGRjOGFlMzgzMGMifQ=="/>
  </w:docVars>
  <w:rsids>
    <w:rsidRoot w:val="00000000"/>
    <w:rsid w:val="04F33D54"/>
    <w:rsid w:val="1AD268D1"/>
    <w:rsid w:val="1EB5357B"/>
    <w:rsid w:val="20B239AF"/>
    <w:rsid w:val="26D153F3"/>
    <w:rsid w:val="26E83B56"/>
    <w:rsid w:val="43975D90"/>
    <w:rsid w:val="4841066E"/>
    <w:rsid w:val="4AC55302"/>
    <w:rsid w:val="5DD60033"/>
    <w:rsid w:val="65953A8F"/>
    <w:rsid w:val="664C7593"/>
    <w:rsid w:val="76061E12"/>
    <w:rsid w:val="7BAE34BE"/>
    <w:rsid w:val="7D0D55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2024-03-06T02:00:00Z</dcterms:created>
  <dc:creator>Administrator</dc:creator>
  <cp:lastModifiedBy>Rancho</cp:lastModifiedBy>
  <dcterms:modified xsi:type="dcterms:W3CDTF">2024-03-06T09:16:22Z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3B82C152F7C9484BA5BE80CA96A4FD25_12</vt:lpwstr>
  </property>
</Properties>
</file>