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ind w:firstLine="1260" w:firstLineChars="300"/>
        <w:jc w:val="both"/>
        <w:rPr>
          <w:rFonts w:hint="eastAsia" w:ascii="方正小标宋简体" w:hAnsi="宋体" w:eastAsia="方正小标宋简体"/>
          <w:sz w:val="42"/>
        </w:rPr>
      </w:pPr>
      <w:r>
        <w:rPr>
          <w:rFonts w:hint="eastAsia" w:ascii="方正小标宋简体" w:hAnsi="宋体" w:eastAsia="方正小标宋简体"/>
          <w:sz w:val="42"/>
        </w:rPr>
        <w:t>柳州市</w:t>
      </w:r>
      <w:r>
        <w:rPr>
          <w:rFonts w:hint="eastAsia" w:ascii="方正小标宋简体" w:hAnsi="宋体" w:eastAsia="方正小标宋简体"/>
          <w:sz w:val="42"/>
          <w:lang w:eastAsia="zh-CN"/>
        </w:rPr>
        <w:t>城中</w:t>
      </w:r>
      <w:r>
        <w:rPr>
          <w:rFonts w:hint="eastAsia" w:ascii="方正小标宋简体" w:hAnsi="宋体" w:eastAsia="方正小标宋简体"/>
          <w:sz w:val="42"/>
        </w:rPr>
        <w:t>区市场监督管理局</w:t>
      </w:r>
    </w:p>
    <w:p>
      <w:pPr>
        <w:spacing w:line="20" w:lineRule="exact"/>
        <w:jc w:val="center"/>
        <w:rPr>
          <w:rFonts w:hint="eastAsia" w:ascii="方正小标宋简体" w:hAnsi="Times New Roman" w:eastAsia="方正小标宋简体"/>
        </w:rPr>
      </w:pPr>
    </w:p>
    <w:p>
      <w:pPr>
        <w:spacing w:line="111" w:lineRule="exact"/>
        <w:jc w:val="center"/>
        <w:rPr>
          <w:rFonts w:hint="eastAsia" w:ascii="方正小标宋简体" w:hAnsi="Times New Roman" w:eastAsia="方正小标宋简体"/>
        </w:rPr>
      </w:pPr>
    </w:p>
    <w:p>
      <w:pPr>
        <w:keepNext w:val="0"/>
        <w:keepLines w:val="0"/>
        <w:pageBreakBefore w:val="0"/>
        <w:widowControl w:val="0"/>
        <w:kinsoku/>
        <w:wordWrap/>
        <w:overflowPunct/>
        <w:topLinePunct w:val="0"/>
        <w:autoSpaceDE/>
        <w:autoSpaceDN/>
        <w:bidi w:val="0"/>
        <w:adjustRightInd/>
        <w:snapToGrid/>
        <w:spacing w:after="313" w:afterLines="100" w:line="480" w:lineRule="exact"/>
        <w:jc w:val="center"/>
        <w:textAlignment w:val="auto"/>
        <w:rPr>
          <w:rFonts w:ascii="Times New Roman" w:hAnsi="Times New Roman" w:eastAsia="Times New Roman"/>
        </w:rPr>
      </w:pPr>
      <w:r>
        <w:rPr>
          <w:rFonts w:hint="eastAsia" w:ascii="方正小标宋简体" w:hAnsi="宋体" w:eastAsia="方正小标宋简体"/>
          <w:sz w:val="42"/>
        </w:rPr>
        <w:t>行政处罚决定书</w:t>
      </w:r>
    </w:p>
    <w:p>
      <w:pPr>
        <w:keepNext w:val="0"/>
        <w:keepLines w:val="0"/>
        <w:pageBreakBefore w:val="0"/>
        <w:widowControl/>
        <w:tabs>
          <w:tab w:val="left" w:pos="500"/>
          <w:tab w:val="left" w:pos="540"/>
        </w:tabs>
        <w:kinsoku/>
        <w:wordWrap/>
        <w:overflowPunct/>
        <w:topLinePunct w:val="0"/>
        <w:autoSpaceDE/>
        <w:autoSpaceDN/>
        <w:bidi w:val="0"/>
        <w:adjustRightInd/>
        <w:snapToGrid/>
        <w:spacing w:after="313" w:afterLines="100" w:line="440" w:lineRule="exact"/>
        <w:ind w:right="0"/>
        <w:jc w:val="center"/>
        <w:textAlignment w:val="auto"/>
        <w:rPr>
          <w:rFonts w:ascii="仿宋" w:hAnsi="仿宋" w:eastAsia="仿宋"/>
          <w:sz w:val="32"/>
          <w:szCs w:val="32"/>
        </w:rPr>
      </w:pPr>
      <w:r>
        <w:rPr>
          <w:rFonts w:hint="eastAsia" w:ascii="仿宋" w:hAnsi="仿宋" w:eastAsia="仿宋"/>
          <w:sz w:val="32"/>
          <w:szCs w:val="32"/>
        </w:rPr>
        <w:t>（柳城中）</w:t>
      </w:r>
      <w:r>
        <w:rPr>
          <w:rFonts w:ascii="仿宋" w:hAnsi="仿宋" w:eastAsia="仿宋"/>
          <w:sz w:val="32"/>
          <w:szCs w:val="32"/>
        </w:rPr>
        <w:t>市监</w:t>
      </w:r>
      <w:r>
        <w:rPr>
          <w:rFonts w:hint="eastAsia" w:ascii="仿宋" w:hAnsi="仿宋" w:eastAsia="仿宋"/>
          <w:sz w:val="32"/>
          <w:szCs w:val="32"/>
        </w:rPr>
        <w:t>罚</w:t>
      </w:r>
      <w:r>
        <w:rPr>
          <w:rFonts w:ascii="仿宋" w:hAnsi="仿宋" w:eastAsia="仿宋"/>
          <w:sz w:val="32"/>
          <w:szCs w:val="32"/>
        </w:rPr>
        <w:t>〔</w:t>
      </w: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w:t>
      </w:r>
      <w:r>
        <w:rPr>
          <w:rFonts w:hint="eastAsia" w:ascii="仿宋" w:hAnsi="仿宋" w:eastAsia="仿宋"/>
          <w:sz w:val="32"/>
          <w:szCs w:val="32"/>
          <w:lang w:val="en-US" w:eastAsia="zh-CN"/>
        </w:rPr>
        <w:t>223</w:t>
      </w:r>
      <w:r>
        <w:rPr>
          <w:rFonts w:ascii="仿宋" w:hAnsi="仿宋" w:eastAsia="仿宋"/>
          <w:sz w:val="32"/>
          <w:szCs w:val="32"/>
        </w:rPr>
        <w:t>号</w:t>
      </w:r>
    </w:p>
    <w:p>
      <w:pPr>
        <w:keepNext w:val="0"/>
        <w:keepLines w:val="0"/>
        <w:pageBreakBefore w:val="0"/>
        <w:kinsoku/>
        <w:wordWrap/>
        <w:overflowPunct/>
        <w:autoSpaceDE/>
        <w:autoSpaceDN/>
        <w:bidi w:val="0"/>
        <w:spacing w:line="600" w:lineRule="exact"/>
        <w:textAlignment w:val="auto"/>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pP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广西格爱广告有限公司</w:t>
      </w: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城中区市场监督管理</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局对</w:t>
      </w: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广西格爱广告有限公司</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涉嫌无正当理由超过六个月未开业或者开业后自行停业连续六</w:t>
      </w:r>
      <w:r>
        <w:rPr>
          <w:rFonts w:hint="eastAsia" w:ascii="仿宋" w:hAnsi="仿宋" w:eastAsia="仿宋" w:cs="仿宋"/>
          <w:b w:val="0"/>
          <w:bCs w:val="0"/>
          <w:i w:val="0"/>
          <w:iCs w:val="0"/>
          <w:caps w:val="0"/>
          <w:color w:val="333333"/>
          <w:spacing w:val="0"/>
          <w:sz w:val="32"/>
          <w:szCs w:val="32"/>
          <w:shd w:val="clear" w:color="auto" w:fill="FFFFFF"/>
        </w:rPr>
        <w:t>个月以上、连续两年未从事经营活动的行为进行立案调查,现已调查终结。</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rPr>
        <w:t>我局执法人员在</w:t>
      </w:r>
      <w:r>
        <w:rPr>
          <w:rFonts w:hint="eastAsia" w:ascii="仿宋" w:hAnsi="仿宋" w:eastAsia="仿宋" w:cs="仿宋"/>
          <w:b w:val="0"/>
          <w:bCs w:val="0"/>
          <w:i w:val="0"/>
          <w:iCs w:val="0"/>
          <w:caps w:val="0"/>
          <w:color w:val="333333"/>
          <w:spacing w:val="0"/>
          <w:sz w:val="32"/>
          <w:szCs w:val="32"/>
          <w:shd w:val="clear" w:color="auto" w:fill="FFFFFF"/>
          <w:lang w:eastAsia="zh-CN"/>
        </w:rPr>
        <w:t>国家</w:t>
      </w:r>
      <w:r>
        <w:rPr>
          <w:rFonts w:hint="eastAsia" w:ascii="仿宋" w:hAnsi="仿宋" w:eastAsia="仿宋" w:cs="仿宋"/>
          <w:b w:val="0"/>
          <w:bCs w:val="0"/>
          <w:i w:val="0"/>
          <w:iCs w:val="0"/>
          <w:caps w:val="0"/>
          <w:color w:val="333333"/>
          <w:spacing w:val="0"/>
          <w:sz w:val="32"/>
          <w:szCs w:val="32"/>
          <w:shd w:val="clear" w:color="auto" w:fill="FFFFFF"/>
        </w:rPr>
        <w:t>企业信用信息公示系统对当事人进行信息查询,以及对柳州市社会保险事业局、柳州市税务局提供的长期停业未经营企业社保信息、税务信息进行对比。</w:t>
      </w:r>
      <w:r>
        <w:rPr>
          <w:rFonts w:hint="eastAsia" w:ascii="仿宋" w:hAnsi="仿宋" w:eastAsia="仿宋"/>
          <w:sz w:val="32"/>
          <w:szCs w:val="32"/>
        </w:rPr>
        <w:t>经查明，</w:t>
      </w:r>
      <w:r>
        <w:rPr>
          <w:rFonts w:hint="eastAsia" w:ascii="仿宋" w:hAnsi="仿宋" w:eastAsia="仿宋"/>
          <w:sz w:val="32"/>
          <w:szCs w:val="32"/>
          <w:lang w:eastAsia="zh-CN"/>
        </w:rPr>
        <w:t>当事人</w:t>
      </w:r>
      <w:r>
        <w:rPr>
          <w:rFonts w:hint="eastAsia" w:ascii="仿宋" w:hAnsi="仿宋" w:eastAsia="仿宋"/>
          <w:sz w:val="32"/>
          <w:szCs w:val="32"/>
        </w:rPr>
        <w:t>连续两个年度未依法报送年度报告，未进行纳税申报，且长期停业未开展经营活动。</w:t>
      </w:r>
    </w:p>
    <w:p>
      <w:pPr>
        <w:keepNext w:val="0"/>
        <w:keepLines w:val="0"/>
        <w:pageBreakBefore w:val="0"/>
        <w:widowControl w:val="0"/>
        <w:kinsoku/>
        <w:wordWrap/>
        <w:overflowPunct/>
        <w:autoSpaceDE/>
        <w:autoSpaceDN/>
        <w:bidi w:val="0"/>
        <w:spacing w:line="600" w:lineRule="exact"/>
        <w:ind w:firstLine="640" w:firstLineChars="200"/>
        <w:jc w:val="both"/>
        <w:textAlignment w:val="auto"/>
        <w:rPr>
          <w:rFonts w:hint="eastAsia" w:ascii="仿宋" w:hAnsi="仿宋" w:eastAsia="仿宋"/>
          <w:color w:val="auto"/>
          <w:sz w:val="32"/>
          <w:szCs w:val="32"/>
        </w:rPr>
      </w:pPr>
      <w:r>
        <w:rPr>
          <w:rFonts w:hint="eastAsia" w:ascii="仿宋" w:hAnsi="仿宋" w:eastAsia="仿宋"/>
          <w:color w:val="auto"/>
          <w:sz w:val="32"/>
          <w:szCs w:val="32"/>
        </w:rPr>
        <w:t>202</w:t>
      </w:r>
      <w:r>
        <w:rPr>
          <w:rFonts w:hint="eastAsia" w:ascii="仿宋" w:hAnsi="仿宋" w:eastAsia="仿宋"/>
          <w:color w:val="auto"/>
          <w:sz w:val="32"/>
          <w:szCs w:val="32"/>
          <w:lang w:val="en-US" w:eastAsia="zh-CN"/>
        </w:rPr>
        <w:t>3</w:t>
      </w:r>
      <w:r>
        <w:rPr>
          <w:rFonts w:hint="eastAsia" w:ascii="仿宋" w:hAnsi="仿宋" w:eastAsia="仿宋"/>
          <w:color w:val="auto"/>
          <w:sz w:val="32"/>
          <w:szCs w:val="32"/>
        </w:rPr>
        <w:t>年</w:t>
      </w:r>
      <w:r>
        <w:rPr>
          <w:rFonts w:hint="eastAsia" w:ascii="仿宋" w:hAnsi="仿宋" w:eastAsia="仿宋"/>
          <w:color w:val="auto"/>
          <w:sz w:val="32"/>
          <w:szCs w:val="32"/>
          <w:lang w:val="en-US" w:eastAsia="zh-CN"/>
        </w:rPr>
        <w:t>4</w:t>
      </w:r>
      <w:r>
        <w:rPr>
          <w:rFonts w:hint="eastAsia" w:ascii="仿宋" w:hAnsi="仿宋" w:eastAsia="仿宋"/>
          <w:color w:val="auto"/>
          <w:sz w:val="32"/>
          <w:szCs w:val="32"/>
        </w:rPr>
        <w:t>月</w:t>
      </w:r>
      <w:r>
        <w:rPr>
          <w:rFonts w:hint="eastAsia" w:ascii="仿宋" w:hAnsi="仿宋" w:eastAsia="仿宋"/>
          <w:color w:val="auto"/>
          <w:sz w:val="32"/>
          <w:szCs w:val="32"/>
          <w:lang w:val="en-US" w:eastAsia="zh-CN"/>
        </w:rPr>
        <w:t>7</w:t>
      </w:r>
      <w:r>
        <w:rPr>
          <w:rFonts w:hint="eastAsia" w:ascii="仿宋" w:hAnsi="仿宋" w:eastAsia="仿宋"/>
          <w:color w:val="auto"/>
          <w:sz w:val="32"/>
          <w:szCs w:val="32"/>
        </w:rPr>
        <w:t>日，我局</w:t>
      </w:r>
      <w:r>
        <w:rPr>
          <w:rFonts w:hint="eastAsia" w:ascii="仿宋" w:hAnsi="仿宋" w:eastAsia="仿宋"/>
          <w:color w:val="auto"/>
          <w:sz w:val="32"/>
          <w:szCs w:val="32"/>
          <w:lang w:eastAsia="zh-CN"/>
        </w:rPr>
        <w:t>公告</w:t>
      </w:r>
      <w:r>
        <w:rPr>
          <w:rFonts w:hint="eastAsia" w:ascii="仿宋" w:hAnsi="仿宋" w:eastAsia="仿宋"/>
          <w:color w:val="auto"/>
          <w:sz w:val="32"/>
          <w:szCs w:val="32"/>
        </w:rPr>
        <w:t>送达了《行政处罚听证告知书》，告知当事人拟作出行政处罚决定的事实、理由、依据、处罚内容及其依法享有陈述、申辩和要求举行听证的权利。当事人自收到听证告知书之日起</w:t>
      </w:r>
      <w:r>
        <w:rPr>
          <w:rFonts w:hint="eastAsia" w:ascii="仿宋" w:hAnsi="仿宋" w:eastAsia="仿宋"/>
          <w:color w:val="auto"/>
          <w:sz w:val="32"/>
          <w:szCs w:val="32"/>
          <w:lang w:eastAsia="zh-CN"/>
        </w:rPr>
        <w:t>五</w:t>
      </w:r>
      <w:r>
        <w:rPr>
          <w:rFonts w:hint="eastAsia" w:ascii="仿宋" w:hAnsi="仿宋" w:eastAsia="仿宋"/>
          <w:color w:val="auto"/>
          <w:sz w:val="32"/>
          <w:szCs w:val="32"/>
        </w:rPr>
        <w:t>个工作日内未行使陈述、申辩权，也未要求举行听证。</w:t>
      </w:r>
    </w:p>
    <w:p>
      <w:pPr>
        <w:spacing w:line="520" w:lineRule="exact"/>
        <w:ind w:firstLine="640" w:firstLineChars="200"/>
        <w:jc w:val="both"/>
        <w:rPr>
          <w:rFonts w:ascii="仿宋" w:hAnsi="仿宋" w:eastAsia="仿宋"/>
          <w:sz w:val="32"/>
          <w:szCs w:val="32"/>
        </w:rPr>
      </w:pPr>
      <w:r>
        <w:rPr>
          <w:rFonts w:hint="eastAsia" w:ascii="仿宋" w:hAnsi="仿宋" w:eastAsia="仿宋" w:cs="仿宋"/>
          <w:b w:val="0"/>
          <w:bCs w:val="0"/>
          <w:i w:val="0"/>
          <w:iCs w:val="0"/>
          <w:caps w:val="0"/>
          <w:color w:val="333333"/>
          <w:spacing w:val="0"/>
          <w:sz w:val="32"/>
          <w:szCs w:val="32"/>
          <w:shd w:val="clear" w:color="auto" w:fill="FFFFFF"/>
        </w:rPr>
        <w:t>上述当事人无正当理由超过六个月未开业或者开业后自行停业连续六个月以上、连续两年未从事经营活动的行为</w:t>
      </w:r>
      <w:r>
        <w:rPr>
          <w:rFonts w:hint="eastAsia" w:ascii="仿宋" w:hAnsi="仿宋" w:eastAsia="仿宋" w:cs="仿宋"/>
          <w:b w:val="0"/>
          <w:bCs w:val="0"/>
          <w:i w:val="0"/>
          <w:iCs w:val="0"/>
          <w:caps w:val="0"/>
          <w:color w:val="333333"/>
          <w:spacing w:val="0"/>
          <w:sz w:val="32"/>
          <w:szCs w:val="32"/>
          <w:shd w:val="clear" w:color="auto" w:fill="FFFFFF"/>
          <w:lang w:eastAsia="zh-CN"/>
        </w:rPr>
        <w:t>，</w:t>
      </w:r>
      <w:r>
        <w:rPr>
          <w:rFonts w:hint="eastAsia" w:ascii="仿宋" w:hAnsi="仿宋" w:eastAsia="仿宋" w:cs="仿宋"/>
          <w:b w:val="0"/>
          <w:bCs w:val="0"/>
          <w:i w:val="0"/>
          <w:iCs w:val="0"/>
          <w:caps w:val="0"/>
          <w:color w:val="333333"/>
          <w:spacing w:val="0"/>
          <w:sz w:val="32"/>
          <w:szCs w:val="32"/>
          <w:shd w:val="clear" w:fill="FFFFFF"/>
        </w:rPr>
        <w:t>属于</w:t>
      </w:r>
      <w:r>
        <w:rPr>
          <w:rFonts w:hint="eastAsia" w:ascii="仿宋" w:hAnsi="仿宋" w:eastAsia="仿宋" w:cs="仿宋"/>
          <w:b w:val="0"/>
          <w:bCs w:val="0"/>
          <w:i w:val="0"/>
          <w:iCs w:val="0"/>
          <w:caps w:val="0"/>
          <w:color w:val="333333"/>
          <w:spacing w:val="0"/>
          <w:sz w:val="32"/>
          <w:szCs w:val="32"/>
          <w:shd w:val="clear" w:color="auto" w:fill="FFFFFF"/>
        </w:rPr>
        <w:t>《中华人民共和国公司法》第二百一十一条第一款</w:t>
      </w:r>
      <w:r>
        <w:rPr>
          <w:rFonts w:hint="eastAsia" w:ascii="仿宋" w:hAnsi="仿宋" w:eastAsia="仿宋" w:cs="仿宋"/>
          <w:b w:val="0"/>
          <w:bCs w:val="0"/>
          <w:i w:val="0"/>
          <w:iCs w:val="0"/>
          <w:caps w:val="0"/>
          <w:color w:val="333333"/>
          <w:spacing w:val="0"/>
          <w:sz w:val="32"/>
          <w:szCs w:val="32"/>
          <w:shd w:val="clear" w:fill="FFFFFF"/>
        </w:rPr>
        <w:t>规定所指应吊销营业执照的法定情形，依据</w:t>
      </w:r>
      <w:r>
        <w:rPr>
          <w:rFonts w:hint="eastAsia" w:ascii="仿宋" w:hAnsi="仿宋" w:eastAsia="仿宋" w:cs="仿宋"/>
          <w:b w:val="0"/>
          <w:bCs w:val="0"/>
          <w:i w:val="0"/>
          <w:iCs w:val="0"/>
          <w:caps w:val="0"/>
          <w:color w:val="333333"/>
          <w:spacing w:val="0"/>
          <w:sz w:val="32"/>
          <w:szCs w:val="32"/>
          <w:shd w:val="clear" w:fill="FFFFFF"/>
          <w:lang w:eastAsia="zh-CN"/>
        </w:rPr>
        <w:t>上述</w:t>
      </w:r>
      <w:r>
        <w:rPr>
          <w:rFonts w:hint="eastAsia" w:ascii="仿宋" w:hAnsi="仿宋" w:eastAsia="仿宋" w:cs="仿宋"/>
          <w:b w:val="0"/>
          <w:bCs w:val="0"/>
          <w:i w:val="0"/>
          <w:iCs w:val="0"/>
          <w:caps w:val="0"/>
          <w:color w:val="333333"/>
          <w:spacing w:val="0"/>
          <w:sz w:val="32"/>
          <w:szCs w:val="32"/>
          <w:shd w:val="clear" w:fill="FFFFFF"/>
        </w:rPr>
        <w:t>规定，</w:t>
      </w:r>
      <w:r>
        <w:rPr>
          <w:rFonts w:hint="eastAsia" w:ascii="仿宋" w:hAnsi="仿宋" w:eastAsia="仿宋" w:cs="仿宋"/>
          <w:b w:val="0"/>
          <w:bCs w:val="0"/>
          <w:i w:val="0"/>
          <w:iCs w:val="0"/>
          <w:caps w:val="0"/>
          <w:color w:val="333333"/>
          <w:spacing w:val="0"/>
          <w:sz w:val="32"/>
          <w:szCs w:val="32"/>
          <w:shd w:val="clear" w:color="auto" w:fill="FFFFFF"/>
          <w:lang w:eastAsia="zh-CN"/>
        </w:rPr>
        <w:t>我局</w:t>
      </w:r>
      <w:r>
        <w:rPr>
          <w:rFonts w:hint="eastAsia" w:ascii="仿宋" w:hAnsi="仿宋" w:eastAsia="仿宋"/>
          <w:sz w:val="32"/>
          <w:szCs w:val="32"/>
        </w:rPr>
        <w:t>决定给予以下行政处罚：</w:t>
      </w:r>
    </w:p>
    <w:p>
      <w:pPr>
        <w:spacing w:line="520" w:lineRule="exact"/>
        <w:ind w:firstLine="640" w:firstLineChars="200"/>
        <w:jc w:val="both"/>
        <w:rPr>
          <w:rFonts w:ascii="仿宋" w:hAnsi="仿宋" w:eastAsia="仿宋"/>
          <w:sz w:val="32"/>
          <w:szCs w:val="32"/>
        </w:rPr>
      </w:pPr>
      <w:r>
        <w:rPr>
          <w:rFonts w:hint="eastAsia" w:ascii="仿宋" w:hAnsi="仿宋" w:eastAsia="仿宋"/>
          <w:sz w:val="32"/>
          <w:szCs w:val="32"/>
        </w:rPr>
        <w:t>吊销</w:t>
      </w:r>
      <w:r>
        <w:rPr>
          <w:rFonts w:hint="eastAsia" w:ascii="仿宋" w:hAnsi="仿宋" w:eastAsia="仿宋"/>
          <w:sz w:val="32"/>
          <w:szCs w:val="32"/>
          <w:u w:val="single"/>
          <w:lang w:val="en-US" w:eastAsia="zh-CN"/>
        </w:rPr>
        <w:t>广西格爱广告有限公司</w:t>
      </w:r>
      <w:bookmarkStart w:id="0" w:name="_GoBack"/>
      <w:bookmarkEnd w:id="0"/>
      <w:r>
        <w:rPr>
          <w:rFonts w:hint="eastAsia" w:ascii="仿宋" w:hAnsi="仿宋" w:eastAsia="仿宋"/>
          <w:sz w:val="32"/>
          <w:szCs w:val="32"/>
        </w:rPr>
        <w:t>的营业执照。</w:t>
      </w:r>
    </w:p>
    <w:p>
      <w:pPr>
        <w:keepNext w:val="0"/>
        <w:keepLines w:val="0"/>
        <w:pageBreakBefore w:val="0"/>
        <w:widowControl w:val="0"/>
        <w:kinsoku/>
        <w:wordWrap/>
        <w:overflowPunct/>
        <w:topLinePunct/>
        <w:autoSpaceDE/>
        <w:autoSpaceDN/>
        <w:bidi w:val="0"/>
        <w:adjustRightInd w:val="0"/>
        <w:snapToGrid w:val="0"/>
        <w:spacing w:line="600" w:lineRule="exact"/>
        <w:ind w:firstLine="640" w:firstLineChars="200"/>
        <w:jc w:val="both"/>
        <w:textAlignment w:val="auto"/>
        <w:rPr>
          <w:rFonts w:ascii="仿宋" w:hAnsi="仿宋" w:eastAsia="仿宋" w:cs="仿宋"/>
          <w:color w:val="000000"/>
          <w:sz w:val="32"/>
          <w:szCs w:val="32"/>
        </w:rPr>
      </w:pPr>
      <w:r>
        <w:rPr>
          <w:rFonts w:hint="eastAsia" w:ascii="仿宋" w:hAnsi="仿宋" w:eastAsia="仿宋" w:cs="仿宋"/>
          <w:color w:val="000000"/>
          <w:sz w:val="32"/>
          <w:szCs w:val="32"/>
        </w:rPr>
        <w:t>如</w:t>
      </w:r>
      <w:r>
        <w:rPr>
          <w:rFonts w:hint="eastAsia" w:ascii="仿宋" w:hAnsi="仿宋" w:eastAsia="仿宋" w:cs="仿宋"/>
          <w:color w:val="000000"/>
          <w:sz w:val="32"/>
          <w:szCs w:val="32"/>
          <w:lang w:eastAsia="zh-CN"/>
        </w:rPr>
        <w:t>当事人</w:t>
      </w:r>
      <w:r>
        <w:rPr>
          <w:rFonts w:hint="eastAsia" w:ascii="仿宋" w:hAnsi="仿宋" w:eastAsia="仿宋" w:cs="仿宋"/>
          <w:color w:val="000000"/>
          <w:sz w:val="32"/>
          <w:szCs w:val="32"/>
        </w:rPr>
        <w:t>不服本行政处罚决定，可以在收到本行政处罚决定书之日起六十日内向柳州市</w:t>
      </w:r>
      <w:r>
        <w:rPr>
          <w:rFonts w:hint="eastAsia" w:ascii="仿宋" w:hAnsi="仿宋" w:eastAsia="仿宋" w:cs="仿宋"/>
          <w:color w:val="000000"/>
          <w:sz w:val="32"/>
          <w:szCs w:val="32"/>
          <w:lang w:eastAsia="zh-CN"/>
        </w:rPr>
        <w:t>城中</w:t>
      </w:r>
      <w:r>
        <w:rPr>
          <w:rFonts w:hint="eastAsia" w:ascii="仿宋" w:hAnsi="仿宋" w:eastAsia="仿宋" w:cs="仿宋"/>
          <w:color w:val="000000"/>
          <w:sz w:val="32"/>
          <w:szCs w:val="32"/>
        </w:rPr>
        <w:t>区人民政府申请行政复议；也可以在六个月内依法向柳州市柳</w:t>
      </w:r>
      <w:r>
        <w:rPr>
          <w:rFonts w:hint="eastAsia" w:ascii="仿宋" w:hAnsi="仿宋" w:eastAsia="仿宋" w:cs="仿宋"/>
          <w:color w:val="000000"/>
          <w:sz w:val="32"/>
          <w:szCs w:val="32"/>
          <w:lang w:eastAsia="zh-CN"/>
        </w:rPr>
        <w:t>北</w:t>
      </w:r>
      <w:r>
        <w:rPr>
          <w:rFonts w:hint="eastAsia" w:ascii="仿宋" w:hAnsi="仿宋" w:eastAsia="仿宋" w:cs="仿宋"/>
          <w:color w:val="000000"/>
          <w:sz w:val="32"/>
          <w:szCs w:val="32"/>
        </w:rPr>
        <w:t>区人民法院提起行政诉讼。申请行政复议或者提起行政诉讼期间，行政处罚不停止执行。</w:t>
      </w:r>
    </w:p>
    <w:p>
      <w:pPr>
        <w:keepNext w:val="0"/>
        <w:keepLines w:val="0"/>
        <w:pageBreakBefore w:val="0"/>
        <w:widowControl w:val="0"/>
        <w:kinsoku/>
        <w:wordWrap/>
        <w:overflowPunct/>
        <w:autoSpaceDE/>
        <w:autoSpaceDN/>
        <w:bidi w:val="0"/>
        <w:spacing w:line="600" w:lineRule="exact"/>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ascii="仿宋" w:hAnsi="仿宋" w:eastAsia="仿宋"/>
          <w:sz w:val="32"/>
          <w:szCs w:val="32"/>
        </w:rPr>
      </w:pPr>
      <w:r>
        <w:rPr>
          <w:rFonts w:hint="eastAsia" w:ascii="仿宋" w:hAnsi="仿宋" w:eastAsia="仿宋"/>
          <w:sz w:val="32"/>
          <w:szCs w:val="32"/>
        </w:rPr>
        <w:t>柳州市</w:t>
      </w:r>
      <w:r>
        <w:rPr>
          <w:rFonts w:hint="eastAsia" w:ascii="仿宋" w:hAnsi="仿宋" w:eastAsia="仿宋"/>
          <w:sz w:val="32"/>
          <w:szCs w:val="32"/>
          <w:lang w:eastAsia="zh-CN"/>
        </w:rPr>
        <w:t>城中</w:t>
      </w:r>
      <w:r>
        <w:rPr>
          <w:rFonts w:hint="eastAsia" w:ascii="仿宋" w:hAnsi="仿宋" w:eastAsia="仿宋"/>
          <w:sz w:val="32"/>
          <w:szCs w:val="32"/>
        </w:rPr>
        <w:t>区</w:t>
      </w:r>
      <w:r>
        <w:rPr>
          <w:rFonts w:ascii="仿宋" w:hAnsi="仿宋" w:eastAsia="仿宋"/>
          <w:sz w:val="32"/>
          <w:szCs w:val="32"/>
        </w:rPr>
        <w:t>市场监督管理局</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年</w:t>
      </w:r>
      <w:r>
        <w:rPr>
          <w:rFonts w:hint="eastAsia" w:ascii="仿宋" w:hAnsi="仿宋" w:eastAsia="仿宋"/>
          <w:sz w:val="32"/>
          <w:szCs w:val="32"/>
          <w:lang w:val="en-US" w:eastAsia="zh-CN"/>
        </w:rPr>
        <w:t>5</w:t>
      </w:r>
      <w:r>
        <w:rPr>
          <w:rFonts w:ascii="仿宋" w:hAnsi="仿宋" w:eastAsia="仿宋"/>
          <w:sz w:val="32"/>
          <w:szCs w:val="32"/>
        </w:rPr>
        <w:t>月</w:t>
      </w:r>
      <w:r>
        <w:rPr>
          <w:rFonts w:hint="eastAsia" w:ascii="仿宋" w:hAnsi="仿宋" w:eastAsia="仿宋"/>
          <w:sz w:val="32"/>
          <w:szCs w:val="32"/>
          <w:lang w:val="en-US" w:eastAsia="zh-CN"/>
        </w:rPr>
        <w:t>15</w:t>
      </w:r>
      <w:r>
        <w:rPr>
          <w:rFonts w:ascii="仿宋" w:hAnsi="仿宋" w:eastAsia="仿宋"/>
          <w:sz w:val="32"/>
          <w:szCs w:val="32"/>
        </w:rPr>
        <w:t>日</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 w:hAnsi="仿宋" w:eastAsia="仿宋"/>
          <w:sz w:val="32"/>
          <w:szCs w:val="32"/>
        </w:rPr>
      </w:pPr>
      <w:r>
        <w:rPr>
          <w:rFonts w:ascii="黑体" w:hAnsi="黑体" w:eastAsia="黑体"/>
          <w:sz w:val="32"/>
          <w:szCs w:val="32"/>
        </w:rPr>
        <w:t>（市场监督管理部门将依法向社会公示本行政处罚决定信息）</w:t>
      </w:r>
    </w:p>
    <w:p>
      <w:pPr>
        <w:keepNext w:val="0"/>
        <w:keepLines w:val="0"/>
        <w:pageBreakBefore w:val="0"/>
        <w:widowControl w:val="0"/>
        <w:tabs>
          <w:tab w:val="left" w:pos="2480"/>
          <w:tab w:val="left" w:pos="3600"/>
          <w:tab w:val="left" w:pos="8080"/>
        </w:tabs>
        <w:kinsoku/>
        <w:wordWrap/>
        <w:overflowPunct/>
        <w:topLinePunct w:val="0"/>
        <w:autoSpaceDE/>
        <w:autoSpaceDN/>
        <w:bidi w:val="0"/>
        <w:adjustRightInd/>
        <w:snapToGrid/>
        <w:spacing w:line="600" w:lineRule="exact"/>
        <w:textAlignment w:val="auto"/>
        <w:rPr>
          <w:rFonts w:hint="default" w:ascii="仿宋" w:hAnsi="仿宋" w:eastAsia="仿宋" w:cs="仿宋"/>
          <w:b w:val="0"/>
          <w:bCs w:val="0"/>
          <w:i w:val="0"/>
          <w:iCs w:val="0"/>
          <w:caps w:val="0"/>
          <w:color w:val="333333"/>
          <w:spacing w:val="0"/>
          <w:sz w:val="32"/>
          <w:szCs w:val="32"/>
          <w:lang w:val="en-US" w:eastAsia="zh-CN"/>
        </w:rPr>
      </w:pP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-75565</wp:posOffset>
                </wp:positionH>
                <wp:positionV relativeFrom="paragraph">
                  <wp:posOffset>62230</wp:posOffset>
                </wp:positionV>
                <wp:extent cx="5734685" cy="0"/>
                <wp:effectExtent l="0" t="0" r="0" b="0"/>
                <wp:wrapNone/>
                <wp:docPr id="2" name="直接箭头连接符 2"/>
                <wp:cNvGraphicFramePr/>
                <a:graphic xmlns:a="http://schemas.openxmlformats.org/drawingml/2006/main">
                  <a:graphicData uri="http://schemas.microsoft.com/office/word/2010/wordprocessingShape">
                    <wps:wsp>
                      <wps:cNvCnPr/>
                      <wps:spPr>
                        <a:xfrm>
                          <a:off x="0" y="0"/>
                          <a:ext cx="5734685"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5.95pt;margin-top:4.9pt;height:0pt;width:451.55pt;z-index:251659264;mso-width-relative:page;mso-height-relative:page;" filled="f" stroked="t" coordsize="21600,21600" o:gfxdata="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AkSVOLUAAAABwEAAA8AAAAAAAAAAQAgAAAAIgAAAGRycy9kb3ducmV2Lnht&#10;bFBLAQIUABQAAAAIAIdO4kBMlpkI/QEAAOwDAAAOAAAAAAAAAAEAIAAAACMBAABkcnMvZTJvRG9j&#10;LnhtbFBLBQYAAAAABgAGAFkBAACSBQAAAAA=&#10;">
                <v:fill on="f" focussize="0,0"/>
                <v:stroke color="#000000" joinstyle="round"/>
                <v:imagedata o:title=""/>
                <o:lock v:ext="edit" aspectratio="f"/>
              </v:shape>
            </w:pict>
          </mc:Fallback>
        </mc:AlternateContent>
      </w:r>
      <w:r>
        <w:rPr>
          <w:rFonts w:ascii="仿宋" w:hAnsi="仿宋" w:eastAsia="仿宋"/>
          <w:sz w:val="32"/>
          <w:szCs w:val="32"/>
        </w:rPr>
        <w:t>本文书一式</w:t>
      </w:r>
      <w:r>
        <w:rPr>
          <w:rFonts w:hint="eastAsia" w:ascii="仿宋" w:hAnsi="仿宋" w:eastAsia="仿宋"/>
          <w:sz w:val="32"/>
          <w:szCs w:val="32"/>
        </w:rPr>
        <w:t>两</w:t>
      </w:r>
      <w:r>
        <w:rPr>
          <w:rFonts w:ascii="仿宋" w:hAnsi="仿宋" w:eastAsia="仿宋"/>
          <w:sz w:val="32"/>
          <w:szCs w:val="32"/>
        </w:rPr>
        <w:t>份，</w:t>
      </w:r>
      <w:r>
        <w:rPr>
          <w:rFonts w:hint="eastAsia" w:ascii="仿宋" w:hAnsi="仿宋" w:eastAsia="仿宋"/>
          <w:sz w:val="32"/>
          <w:szCs w:val="32"/>
        </w:rPr>
        <w:t>一</w:t>
      </w:r>
      <w:r>
        <w:rPr>
          <w:rFonts w:ascii="仿宋" w:hAnsi="仿宋" w:eastAsia="仿宋"/>
          <w:sz w:val="32"/>
          <w:szCs w:val="32"/>
        </w:rPr>
        <w:t>份送达，一份归档。</w:t>
      </w:r>
    </w:p>
    <w:sectPr>
      <w:pgSz w:w="11906" w:h="16838"/>
      <w:pgMar w:top="1440" w:right="1587" w:bottom="1440"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wNWY2ZDE2NTI2YzU2YTczOThlZjVlNjA5MzZiMjAifQ=="/>
  </w:docVars>
  <w:rsids>
    <w:rsidRoot w:val="629004B9"/>
    <w:rsid w:val="04547C79"/>
    <w:rsid w:val="04602913"/>
    <w:rsid w:val="0AAE61A7"/>
    <w:rsid w:val="0D6F3813"/>
    <w:rsid w:val="0E486C9F"/>
    <w:rsid w:val="0EC264DD"/>
    <w:rsid w:val="10B56D77"/>
    <w:rsid w:val="119D183C"/>
    <w:rsid w:val="11B57335"/>
    <w:rsid w:val="20537E3B"/>
    <w:rsid w:val="21216E0E"/>
    <w:rsid w:val="23D11554"/>
    <w:rsid w:val="25F22DE6"/>
    <w:rsid w:val="2AF56B24"/>
    <w:rsid w:val="2DAD1CAA"/>
    <w:rsid w:val="2FA61DCD"/>
    <w:rsid w:val="33DD4036"/>
    <w:rsid w:val="350B7043"/>
    <w:rsid w:val="35645530"/>
    <w:rsid w:val="357D4DA0"/>
    <w:rsid w:val="37984D56"/>
    <w:rsid w:val="38843C5A"/>
    <w:rsid w:val="444478CD"/>
    <w:rsid w:val="44754DD6"/>
    <w:rsid w:val="48795CD4"/>
    <w:rsid w:val="487F0120"/>
    <w:rsid w:val="495C74FC"/>
    <w:rsid w:val="4967449A"/>
    <w:rsid w:val="4F5A2306"/>
    <w:rsid w:val="54114F2A"/>
    <w:rsid w:val="55B90BF8"/>
    <w:rsid w:val="577D107A"/>
    <w:rsid w:val="60DF69EC"/>
    <w:rsid w:val="629004B9"/>
    <w:rsid w:val="63DA1D90"/>
    <w:rsid w:val="640F0D5C"/>
    <w:rsid w:val="68400EBA"/>
    <w:rsid w:val="68CC294F"/>
    <w:rsid w:val="69A65FD4"/>
    <w:rsid w:val="6AC81E68"/>
    <w:rsid w:val="702D4C38"/>
    <w:rsid w:val="719D21B7"/>
    <w:rsid w:val="73C5726C"/>
    <w:rsid w:val="743B1FC9"/>
    <w:rsid w:val="759E6B84"/>
    <w:rsid w:val="79A47076"/>
    <w:rsid w:val="7EC746C3"/>
    <w:rsid w:val="7FD879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640</Words>
  <Characters>657</Characters>
  <Lines>0</Lines>
  <Paragraphs>0</Paragraphs>
  <TotalTime>81</TotalTime>
  <ScaleCrop>false</ScaleCrop>
  <LinksUpToDate>false</LinksUpToDate>
  <CharactersWithSpaces>657</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2021-04-21T07:41:00Z</dcterms:created>
  <dc:creator>炖酥苗 </dc:creator>
  <cp:lastModifiedBy>WPS_1602315941</cp:lastModifiedBy>
  <cp:lastPrinted>2023-05-11T06:51:20Z</cp:lastPrinted>
  <dcterms:modified xsi:type="dcterms:W3CDTF">2023-05-11T06:51:31Z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996A43FEFB834E449C09B4365AEDD245</vt:lpwstr>
  </property>
</Properties>
</file>