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80D5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rPr>
      </w:pPr>
      <w:bookmarkStart w:id="0" w:name="_GoBack"/>
      <w:bookmarkEnd w:id="0"/>
    </w:p>
    <w:p w14:paraId="099EC1B7">
      <w:pPr>
        <w:spacing w:line="520" w:lineRule="exact"/>
        <w:jc w:val="center"/>
        <w:rPr>
          <w:rFonts w:ascii="方正小标宋简体" w:eastAsia="方正小标宋简体"/>
          <w:b/>
          <w:color w:val="FF0000"/>
          <w:sz w:val="48"/>
          <w:szCs w:val="48"/>
        </w:rPr>
      </w:pPr>
      <w:r>
        <w:rPr>
          <w:rFonts w:hint="eastAsia" w:ascii="方正小标宋简体" w:eastAsia="方正小标宋简体"/>
          <w:b/>
          <w:color w:val="FF0000"/>
          <w:sz w:val="48"/>
          <w:szCs w:val="48"/>
        </w:rPr>
        <w:t>广西壮族自治区柳州市城中区</w:t>
      </w:r>
    </w:p>
    <w:p w14:paraId="2F49C930">
      <w:pPr>
        <w:spacing w:line="520" w:lineRule="exact"/>
        <w:jc w:val="center"/>
        <w:rPr>
          <w:rFonts w:ascii="方正小标宋简体" w:eastAsia="方正小标宋简体"/>
          <w:b/>
          <w:color w:val="FF0000"/>
          <w:sz w:val="48"/>
          <w:szCs w:val="48"/>
        </w:rPr>
      </w:pPr>
    </w:p>
    <w:p w14:paraId="792CCA8C">
      <w:pPr>
        <w:spacing w:line="1600" w:lineRule="exact"/>
        <w:jc w:val="center"/>
        <w:rPr>
          <w:rFonts w:ascii="方正小标宋简体" w:eastAsia="方正小标宋简体"/>
          <w:color w:val="FF0000"/>
          <w:sz w:val="84"/>
          <w:szCs w:val="84"/>
        </w:rPr>
      </w:pPr>
      <w:r>
        <w:rPr>
          <w:rFonts w:hint="eastAsia" w:ascii="方正小标宋简体" w:eastAsia="方正小标宋简体"/>
          <w:color w:val="FF0000"/>
          <w:sz w:val="84"/>
          <w:szCs w:val="84"/>
        </w:rPr>
        <w:t>商  务  局  文  件</w:t>
      </w:r>
    </w:p>
    <w:p w14:paraId="3973E629">
      <w:pPr>
        <w:spacing w:line="520" w:lineRule="exact"/>
        <w:jc w:val="both"/>
        <w:rPr>
          <w:rFonts w:ascii="仿宋_GB2312" w:eastAsia="仿宋_GB2312"/>
          <w:sz w:val="30"/>
        </w:rPr>
      </w:pPr>
    </w:p>
    <w:p w14:paraId="2E7703E9">
      <w:pPr>
        <w:spacing w:line="520" w:lineRule="exact"/>
        <w:jc w:val="center"/>
        <w:rPr>
          <w:rFonts w:ascii="仿宋_GB2312" w:eastAsia="仿宋_GB2312"/>
          <w:sz w:val="30"/>
        </w:rPr>
      </w:pPr>
      <w:r>
        <w:rPr>
          <w:rFonts w:hint="eastAsia" w:ascii="仿宋_GB2312" w:eastAsia="仿宋_GB2312"/>
          <w:sz w:val="30"/>
        </w:rPr>
        <w:t>城中商发</w:t>
      </w:r>
      <w:r>
        <w:rPr>
          <w:rFonts w:hint="eastAsia" w:ascii="仿宋_GB2312" w:eastAsia="仿宋_GB2312"/>
          <w:sz w:val="30"/>
          <w:lang w:val="en-US" w:eastAsia="zh-CN"/>
        </w:rPr>
        <w:t xml:space="preserve"> </w:t>
      </w:r>
      <w:r>
        <w:rPr>
          <w:rFonts w:hint="default" w:ascii="Times New Roman" w:hAnsi="Times New Roman" w:eastAsia="仿宋_GB2312" w:cs="Times New Roman"/>
          <w:bCs/>
          <w:sz w:val="32"/>
          <w:szCs w:val="32"/>
          <w:lang w:eastAsia="zh-CN"/>
        </w:rPr>
        <w:t>〔</w:t>
      </w:r>
      <w:r>
        <w:rPr>
          <w:rFonts w:hint="eastAsia" w:ascii="仿宋_GB2312" w:eastAsia="仿宋_GB2312"/>
          <w:sz w:val="30"/>
        </w:rPr>
        <w:t>20</w:t>
      </w:r>
      <w:r>
        <w:rPr>
          <w:rFonts w:hint="eastAsia" w:ascii="仿宋_GB2312" w:eastAsia="仿宋_GB2312"/>
          <w:sz w:val="30"/>
          <w:lang w:val="en-US" w:eastAsia="zh-CN"/>
        </w:rPr>
        <w:t>24</w:t>
      </w:r>
      <w:r>
        <w:rPr>
          <w:rFonts w:hint="default" w:ascii="Times New Roman" w:hAnsi="Times New Roman" w:eastAsia="仿宋_GB2312" w:cs="Times New Roman"/>
          <w:bCs/>
          <w:sz w:val="32"/>
          <w:szCs w:val="32"/>
          <w:lang w:eastAsia="zh-CN"/>
        </w:rPr>
        <w:t>〕</w:t>
      </w:r>
      <w:r>
        <w:rPr>
          <w:rFonts w:hint="eastAsia" w:ascii="仿宋_GB2312" w:eastAsia="仿宋_GB2312"/>
          <w:sz w:val="30"/>
          <w:lang w:val="en-US" w:eastAsia="zh-CN"/>
        </w:rPr>
        <w:t xml:space="preserve"> 1</w:t>
      </w:r>
      <w:r>
        <w:rPr>
          <w:rFonts w:hint="eastAsia" w:ascii="仿宋_GB2312" w:eastAsia="仿宋_GB2312"/>
          <w:sz w:val="30"/>
        </w:rPr>
        <w:t>号</w:t>
      </w:r>
    </w:p>
    <w:p w14:paraId="4AA78EB7">
      <w:pPr>
        <w:spacing w:line="520" w:lineRule="exact"/>
        <w:rPr>
          <w:rFonts w:ascii="仿宋_GB2312" w:eastAsia="仿宋_GB2312"/>
          <w:sz w:val="30"/>
        </w:rPr>
      </w:pPr>
      <w:r>
        <w:rPr>
          <w:rFonts w:ascii="仿宋_GB2312" w:eastAsia="仿宋_GB2312"/>
          <w:sz w:val="3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265430</wp:posOffset>
                </wp:positionV>
                <wp:extent cx="6066790" cy="635"/>
                <wp:effectExtent l="0" t="19050" r="10160" b="37465"/>
                <wp:wrapNone/>
                <wp:docPr id="2" name="直接连接符 2"/>
                <wp:cNvGraphicFramePr/>
                <a:graphic xmlns:a="http://schemas.openxmlformats.org/drawingml/2006/main">
                  <a:graphicData uri="http://schemas.microsoft.com/office/word/2010/wordprocessingShape">
                    <wps:wsp>
                      <wps:cNvCnPr/>
                      <wps:spPr>
                        <a:xfrm>
                          <a:off x="0" y="0"/>
                          <a:ext cx="6066790" cy="635"/>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0.9pt;height:0.05pt;width:477.7pt;z-index:251660288;mso-width-relative:page;mso-height-relative:page;" filled="f" stroked="t" coordsize="21600,21600" o:gfxdata="UEsDBAoAAAAAAIdO4kAAAAAAAAAAAAAAAAAEAAAAZHJzL1BLAwQUAAAACACHTuJA5d/UrNkAAAAG&#10;AQAADwAAAGRycy9kb3ducmV2LnhtbE2PwU7DMBBE70j9B2uRuCDqBLWIpnGqCglR6IESkFBvbrwk&#10;UeN1sJ22/D3bExx3ZjTzNl+cbCcO6EPrSEE6TkAgVc60VCv4eH+8uQcRoiajO0eo4AcDLIrRRa4z&#10;4470hocy1oJLKGRaQRNjn0kZqgatDmPXI7H35bzVkU9fS+P1kcttJ2+T5E5a3RIvNLrHhwarfTlY&#10;BfbVLuV2/TSUfvP88vm9Xm321yulri7TZA4i4in+heGMz+hQMNPODWSC6BTwI1HBJGV+dmfT6QTE&#10;7izMQBa5/I9f/AJQSwMEFAAAAAgAh07iQCDEZiH4AQAA5wMAAA4AAABkcnMvZTJvRG9jLnhtbK1T&#10;zY7TMBC+I/EOlu80aVeUJWq6hy3lgqAS8ABT20ks+U8et2lfghdA4gYnjtx5G5bHYJyULiyXHsjB&#10;GXs+f57vG3txc7CG7VVE7V3Np5OSM+WEl9q1NX//bv3kmjNM4CQY71TNjwr5zfLxo0UfKjXznTdS&#10;RUYkDqs+1LxLKVRFgaJTFnDig3KUbHy0kGga20JG6IndmmJWlvOi91GG6IVCpNXVmOQnxngJoW8a&#10;LdTKi51VLo2sURlIJAk7HZAvh2qbRon0pmlQJWZqTkrTMNIhFG/zWCwXULURQqfFqQS4pIQHmixo&#10;R4eeqVaQgO2i/ofKahE9+iZNhLfFKGRwhFRMywfevO0gqEELWY3hbDr+P1rxer+JTMuazzhzYKnh&#10;dx+//fjw+ef3TzTeff3CZtmkPmBF2Fu3iacZhk3Mig9NtPlPWthhMPZ4NlYdEhO0OC/n82fPyXNB&#10;ufnV08xY3G8NEdNL5S3LQc2Ndlk1VLB/hWmE/obkZeNYX/Or62mZGYHuYEO9p9AG0oGuHTajN1qu&#10;tTF5C8Z2e2si2wPdg/W6pO9Uw1+wfMoKsBtxQyrDoOoUyBdOsnQM5JCjh8FzDVZJzoyid5SjAZlA&#10;m0uQJN84ciEbO1qZo62XR+rHLkTddmTFdKgyZ6j/g2enu5ov2J/zgen+fS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Xf1KzZAAAABgEAAA8AAAAAAAAAAQAgAAAAIgAAAGRycy9kb3ducmV2Lnht&#10;bFBLAQIUABQAAAAIAIdO4kAgxGYh+AEAAOcDAAAOAAAAAAAAAAEAIAAAACgBAABkcnMvZTJvRG9j&#10;LnhtbFBLBQYAAAAABgAGAFkBAACSBQAAAAA=&#10;">
                <v:fill on="f" focussize="0,0"/>
                <v:stroke weight="3pt" color="#FF0000" joinstyle="round"/>
                <v:imagedata o:title=""/>
                <o:lock v:ext="edit" aspectratio="f"/>
              </v:line>
            </w:pict>
          </mc:Fallback>
        </mc:AlternateContent>
      </w:r>
    </w:p>
    <w:p w14:paraId="4C77BE34">
      <w:pPr>
        <w:spacing w:line="520" w:lineRule="exact"/>
        <w:rPr>
          <w:rFonts w:ascii="仿宋_GB2312" w:eastAsia="仿宋_GB2312"/>
          <w:sz w:val="30"/>
        </w:rPr>
      </w:pPr>
    </w:p>
    <w:p w14:paraId="4545E4D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rPr>
      </w:pPr>
      <w:r>
        <w:rPr>
          <w:rFonts w:hint="default" w:ascii="Times New Roman" w:hAnsi="Times New Roman" w:eastAsia="方正小标宋简体" w:cs="Times New Roman"/>
          <w:color w:val="auto"/>
          <w:sz w:val="44"/>
          <w:szCs w:val="44"/>
        </w:rPr>
        <w:t>关</w:t>
      </w:r>
      <w:r>
        <w:rPr>
          <w:rFonts w:hint="eastAsia" w:ascii="方正小标宋简体" w:hAnsi="方正小标宋简体" w:eastAsia="方正小标宋简体" w:cs="方正小标宋简体"/>
          <w:color w:val="auto"/>
          <w:sz w:val="44"/>
          <w:szCs w:val="44"/>
        </w:rPr>
        <w:t>于印发《柳州市城中区商务</w:t>
      </w:r>
      <w:r>
        <w:rPr>
          <w:rFonts w:hint="eastAsia" w:ascii="方正小标宋简体" w:hAnsi="方正小标宋简体" w:eastAsia="方正小标宋简体" w:cs="方正小标宋简体"/>
          <w:color w:val="auto"/>
          <w:sz w:val="44"/>
          <w:szCs w:val="44"/>
          <w:lang w:eastAsia="zh-CN"/>
        </w:rPr>
        <w:t>系统安全生</w:t>
      </w:r>
      <w:r>
        <w:rPr>
          <w:rFonts w:hint="eastAsia" w:ascii="方正小标宋简体" w:hAnsi="方正小标宋简体" w:eastAsia="方正小标宋简体" w:cs="方正小标宋简体"/>
          <w:color w:val="auto"/>
          <w:sz w:val="44"/>
          <w:szCs w:val="44"/>
          <w:lang w:val="en-US" w:eastAsia="zh-CN"/>
        </w:rPr>
        <w:t xml:space="preserve">   </w:t>
      </w:r>
      <w:r>
        <w:rPr>
          <w:rFonts w:hint="eastAsia" w:ascii="方正小标宋简体" w:hAnsi="方正小标宋简体" w:eastAsia="方正小标宋简体" w:cs="方正小标宋简体"/>
          <w:color w:val="auto"/>
          <w:sz w:val="44"/>
          <w:szCs w:val="44"/>
          <w:lang w:eastAsia="zh-CN"/>
        </w:rPr>
        <w:t>产治本攻坚三年行动方案</w:t>
      </w:r>
      <w:r>
        <w:rPr>
          <w:rFonts w:hint="eastAsia" w:ascii="方正小标宋简体" w:hAnsi="方正小标宋简体" w:eastAsia="方正小标宋简体" w:cs="方正小标宋简体"/>
          <w:color w:val="auto"/>
          <w:sz w:val="44"/>
          <w:szCs w:val="44"/>
          <w:lang w:val="en-US" w:eastAsia="zh-CN"/>
        </w:rPr>
        <w:t>(2024-2026年)的</w:t>
      </w:r>
      <w:r>
        <w:rPr>
          <w:rFonts w:hint="eastAsia" w:ascii="方正小标宋简体" w:hAnsi="方正小标宋简体" w:eastAsia="方正小标宋简体" w:cs="方正小标宋简体"/>
          <w:color w:val="auto"/>
          <w:sz w:val="44"/>
          <w:szCs w:val="44"/>
        </w:rPr>
        <w:t>》</w:t>
      </w:r>
      <w:r>
        <w:rPr>
          <w:rFonts w:hint="eastAsia" w:ascii="方正小标宋简体" w:hAnsi="方正小标宋简体" w:eastAsia="方正小标宋简体" w:cs="方正小标宋简体"/>
          <w:color w:val="auto"/>
          <w:sz w:val="44"/>
          <w:szCs w:val="44"/>
          <w:lang w:val="en-US" w:eastAsia="zh-CN"/>
        </w:rPr>
        <w:t>通知</w:t>
      </w:r>
    </w:p>
    <w:p w14:paraId="74ABB7FE">
      <w:pPr>
        <w:adjustRightInd w:val="0"/>
        <w:snapToGrid w:val="0"/>
        <w:spacing w:line="580" w:lineRule="exact"/>
        <w:ind w:left="2240" w:hanging="2240" w:hangingChars="800"/>
        <w:jc w:val="center"/>
        <w:rPr>
          <w:rFonts w:hint="default" w:ascii="Times New Roman" w:hAnsi="Times New Roman" w:cs="Times New Roman"/>
          <w:color w:val="auto"/>
          <w:sz w:val="28"/>
          <w:szCs w:val="28"/>
        </w:rPr>
      </w:pPr>
    </w:p>
    <w:p w14:paraId="367161A1">
      <w:pPr>
        <w:adjustRightInd w:val="0"/>
        <w:snapToGrid w:val="0"/>
        <w:spacing w:line="520" w:lineRule="exact"/>
        <w:ind w:left="2560" w:hanging="2560" w:hangingChars="8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城中区各商贸企业：</w:t>
      </w:r>
    </w:p>
    <w:p w14:paraId="59CB0515">
      <w:pPr>
        <w:adjustRightInd w:val="0"/>
        <w:snapToGrid w:val="0"/>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现将《柳州市城中区商务</w:t>
      </w:r>
      <w:r>
        <w:rPr>
          <w:rFonts w:hint="default" w:ascii="Times New Roman" w:hAnsi="Times New Roman" w:eastAsia="仿宋_GB2312" w:cs="Times New Roman"/>
          <w:color w:val="auto"/>
          <w:sz w:val="32"/>
          <w:szCs w:val="32"/>
          <w:lang w:eastAsia="zh-CN"/>
        </w:rPr>
        <w:t>系统安全生产治本攻坚三年行动方案</w:t>
      </w:r>
      <w:r>
        <w:rPr>
          <w:rFonts w:hint="default" w:ascii="Times New Roman" w:hAnsi="Times New Roman" w:eastAsia="仿宋_GB2312" w:cs="Times New Roman"/>
          <w:color w:val="auto"/>
          <w:sz w:val="32"/>
          <w:szCs w:val="32"/>
          <w:lang w:val="en-US" w:eastAsia="zh-CN"/>
        </w:rPr>
        <w:t>(2024-2026年)</w:t>
      </w:r>
      <w:r>
        <w:rPr>
          <w:rFonts w:hint="default" w:ascii="Times New Roman" w:hAnsi="Times New Roman" w:eastAsia="仿宋_GB2312" w:cs="Times New Roman"/>
          <w:color w:val="auto"/>
          <w:sz w:val="32"/>
          <w:szCs w:val="32"/>
        </w:rPr>
        <w:t>》印发给你们，请结合本单位实际抓好落实</w:t>
      </w:r>
    </w:p>
    <w:p w14:paraId="34E69616">
      <w:pPr>
        <w:pStyle w:val="2"/>
        <w:rPr>
          <w:rFonts w:hint="default" w:ascii="Times New Roman" w:hAnsi="Times New Roman" w:eastAsia="仿宋_GB2312" w:cs="Times New Roman"/>
          <w:color w:val="auto"/>
          <w:sz w:val="32"/>
          <w:szCs w:val="32"/>
        </w:rPr>
      </w:pPr>
    </w:p>
    <w:p w14:paraId="675B93B8">
      <w:pPr>
        <w:adjustRightInd w:val="0"/>
        <w:snapToGrid w:val="0"/>
        <w:spacing w:line="520" w:lineRule="exact"/>
        <w:ind w:firstLine="640" w:firstLineChars="200"/>
        <w:rPr>
          <w:rFonts w:hint="default" w:ascii="Times New Roman" w:hAnsi="Times New Roman" w:eastAsia="仿宋_GB2312" w:cs="Times New Roman"/>
          <w:color w:val="auto"/>
          <w:sz w:val="32"/>
          <w:szCs w:val="32"/>
        </w:rPr>
      </w:pPr>
    </w:p>
    <w:p w14:paraId="2B62260A">
      <w:pPr>
        <w:adjustRightInd w:val="0"/>
        <w:snapToGrid w:val="0"/>
        <w:spacing w:line="52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附件：《柳州市城中区商务</w:t>
      </w:r>
      <w:r>
        <w:rPr>
          <w:rFonts w:hint="default" w:ascii="Times New Roman" w:hAnsi="Times New Roman" w:eastAsia="仿宋_GB2312" w:cs="Times New Roman"/>
          <w:color w:val="auto"/>
          <w:sz w:val="32"/>
          <w:szCs w:val="32"/>
          <w:lang w:eastAsia="zh-CN"/>
        </w:rPr>
        <w:t>系统安全生产治本攻坚三年行动方案</w:t>
      </w:r>
      <w:r>
        <w:rPr>
          <w:rFonts w:hint="default" w:ascii="Times New Roman" w:hAnsi="Times New Roman" w:eastAsia="仿宋_GB2312" w:cs="Times New Roman"/>
          <w:color w:val="auto"/>
          <w:sz w:val="32"/>
          <w:szCs w:val="32"/>
          <w:lang w:val="en-US" w:eastAsia="zh-CN"/>
        </w:rPr>
        <w:t>(2024-2026年)</w:t>
      </w:r>
      <w:r>
        <w:rPr>
          <w:rFonts w:hint="default" w:ascii="Times New Roman" w:hAnsi="Times New Roman" w:eastAsia="仿宋_GB2312" w:cs="Times New Roman"/>
          <w:color w:val="auto"/>
          <w:sz w:val="32"/>
          <w:szCs w:val="32"/>
        </w:rPr>
        <w:t>》</w:t>
      </w:r>
    </w:p>
    <w:p w14:paraId="2D41F8BD">
      <w:pPr>
        <w:adjustRightInd w:val="0"/>
        <w:snapToGrid w:val="0"/>
        <w:spacing w:line="520" w:lineRule="exact"/>
        <w:rPr>
          <w:rFonts w:hint="default" w:ascii="Times New Roman" w:hAnsi="Times New Roman" w:eastAsia="仿宋_GB2312" w:cs="Times New Roman"/>
          <w:color w:val="auto"/>
          <w:sz w:val="32"/>
          <w:szCs w:val="32"/>
        </w:rPr>
      </w:pPr>
    </w:p>
    <w:p w14:paraId="71A98499">
      <w:pPr>
        <w:adjustRightInd w:val="0"/>
        <w:snapToGrid w:val="0"/>
        <w:spacing w:line="520" w:lineRule="exact"/>
        <w:ind w:firstLine="4640" w:firstLineChars="14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柳州市城中区商务局</w:t>
      </w:r>
    </w:p>
    <w:p w14:paraId="66746015">
      <w:pPr>
        <w:adjustRightInd w:val="0"/>
        <w:snapToGrid w:val="0"/>
        <w:spacing w:line="520" w:lineRule="exact"/>
        <w:ind w:firstLine="4960" w:firstLineChars="15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20</w:t>
      </w:r>
      <w:r>
        <w:rPr>
          <w:rFonts w:hint="default" w:ascii="Times New Roman" w:hAnsi="Times New Roman" w:eastAsia="仿宋_GB2312" w:cs="Times New Roman"/>
          <w:color w:val="auto"/>
          <w:sz w:val="32"/>
          <w:szCs w:val="32"/>
          <w:lang w:val="en-US" w:eastAsia="zh-CN"/>
        </w:rPr>
        <w:t>24</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日</w:t>
      </w:r>
    </w:p>
    <w:p w14:paraId="23775877">
      <w:pPr>
        <w:adjustRightInd w:val="0"/>
        <w:snapToGrid w:val="0"/>
        <w:spacing w:line="520" w:lineRule="exact"/>
        <w:ind w:firstLine="4960" w:firstLineChars="1550"/>
        <w:rPr>
          <w:rFonts w:hint="default" w:ascii="Times New Roman" w:hAnsi="Times New Roman" w:eastAsia="仿宋_GB2312" w:cs="Times New Roman"/>
          <w:color w:val="auto"/>
          <w:sz w:val="32"/>
          <w:szCs w:val="32"/>
        </w:rPr>
      </w:pPr>
    </w:p>
    <w:p w14:paraId="0D084675">
      <w:pPr>
        <w:spacing w:line="560" w:lineRule="exact"/>
        <w:jc w:val="both"/>
        <w:rPr>
          <w:rFonts w:hint="default" w:ascii="Times New Roman" w:hAnsi="Times New Roman" w:eastAsia="方正小标宋简体" w:cs="Times New Roman"/>
          <w:color w:val="auto"/>
          <w:sz w:val="44"/>
          <w:szCs w:val="44"/>
        </w:rPr>
      </w:pPr>
    </w:p>
    <w:p w14:paraId="7572D3B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柳州市</w:t>
      </w:r>
      <w:r>
        <w:rPr>
          <w:rFonts w:hint="eastAsia" w:ascii="方正小标宋简体" w:hAnsi="方正小标宋简体" w:eastAsia="方正小标宋简体" w:cs="方正小标宋简体"/>
          <w:color w:val="auto"/>
          <w:sz w:val="44"/>
          <w:szCs w:val="44"/>
          <w:lang w:eastAsia="zh-CN"/>
        </w:rPr>
        <w:t>城中区</w:t>
      </w:r>
      <w:r>
        <w:rPr>
          <w:rFonts w:hint="eastAsia" w:ascii="方正小标宋简体" w:hAnsi="方正小标宋简体" w:eastAsia="方正小标宋简体" w:cs="方正小标宋简体"/>
          <w:color w:val="auto"/>
          <w:sz w:val="44"/>
          <w:szCs w:val="44"/>
        </w:rPr>
        <w:t>商务系统安全生产治本</w:t>
      </w:r>
    </w:p>
    <w:p w14:paraId="340C691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攻坚三年行动方案（2024—202</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rPr>
        <w:t>年）</w:t>
      </w:r>
    </w:p>
    <w:p w14:paraId="3B30FBC6">
      <w:pPr>
        <w:pStyle w:val="2"/>
        <w:rPr>
          <w:rFonts w:hint="eastAsia"/>
          <w:color w:val="auto"/>
        </w:rPr>
      </w:pPr>
    </w:p>
    <w:p w14:paraId="2FB5B1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为认真贯彻落实</w:t>
      </w:r>
      <w:r>
        <w:rPr>
          <w:rFonts w:hint="eastAsia" w:ascii="仿宋_GB2312" w:hAnsi="仿宋_GB2312" w:eastAsia="仿宋_GB2312" w:cs="仿宋_GB2312"/>
          <w:color w:val="auto"/>
          <w:sz w:val="32"/>
          <w:szCs w:val="32"/>
          <w:lang w:eastAsia="zh-CN"/>
        </w:rPr>
        <w:t>习近平总书记关于安全生产工作的重要指示精神</w:t>
      </w:r>
      <w:r>
        <w:rPr>
          <w:rFonts w:hint="eastAsia" w:ascii="仿宋_GB2312" w:hAnsi="仿宋_GB2312" w:eastAsia="仿宋_GB2312" w:cs="仿宋_GB2312"/>
          <w:color w:val="auto"/>
          <w:sz w:val="32"/>
          <w:szCs w:val="32"/>
        </w:rPr>
        <w:t>，进一步夯实全</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商务领域安全生产基础，坚决防范遏制重特大生产安全事故，按照国务院、自治区安委会以及商务部、商务厅等有关安全生产治本攻坚行动方案精神，结合我</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商务系统安全生产工作实际，</w:t>
      </w:r>
      <w:r>
        <w:rPr>
          <w:rFonts w:hint="eastAsia" w:ascii="仿宋_GB2312" w:hAnsi="仿宋_GB2312" w:eastAsia="仿宋_GB2312" w:cs="仿宋_GB2312"/>
          <w:color w:val="auto"/>
          <w:sz w:val="32"/>
          <w:szCs w:val="32"/>
          <w:lang w:eastAsia="zh-CN"/>
        </w:rPr>
        <w:t>特</w:t>
      </w:r>
      <w:r>
        <w:rPr>
          <w:rFonts w:hint="eastAsia" w:ascii="仿宋_GB2312" w:hAnsi="仿宋_GB2312" w:eastAsia="仿宋_GB2312" w:cs="仿宋_GB2312"/>
          <w:color w:val="auto"/>
          <w:sz w:val="32"/>
          <w:szCs w:val="32"/>
        </w:rPr>
        <w:t>制定《柳州市</w:t>
      </w:r>
      <w:r>
        <w:rPr>
          <w:rFonts w:hint="eastAsia" w:ascii="仿宋_GB2312" w:hAnsi="仿宋_GB2312" w:eastAsia="仿宋_GB2312" w:cs="仿宋_GB2312"/>
          <w:color w:val="auto"/>
          <w:sz w:val="32"/>
          <w:szCs w:val="32"/>
          <w:lang w:eastAsia="zh-CN"/>
        </w:rPr>
        <w:t>城中区</w:t>
      </w:r>
      <w:r>
        <w:rPr>
          <w:rFonts w:hint="eastAsia" w:ascii="仿宋_GB2312" w:hAnsi="仿宋_GB2312" w:eastAsia="仿宋_GB2312" w:cs="仿宋_GB2312"/>
          <w:color w:val="auto"/>
          <w:sz w:val="32"/>
          <w:szCs w:val="32"/>
        </w:rPr>
        <w:t>商务系统安全生产治本攻坚三年行动方案（2024—2026年）》。</w:t>
      </w:r>
    </w:p>
    <w:p w14:paraId="413DC0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一、工作目标</w:t>
      </w:r>
    </w:p>
    <w:p w14:paraId="3880CD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通过三年治本攻坚，</w:t>
      </w:r>
      <w:r>
        <w:rPr>
          <w:rFonts w:hint="eastAsia" w:ascii="仿宋_GB2312" w:hAnsi="仿宋_GB2312" w:eastAsia="仿宋_GB2312" w:cs="仿宋_GB2312"/>
          <w:i w:val="0"/>
          <w:iCs w:val="0"/>
          <w:caps w:val="0"/>
          <w:color w:val="auto"/>
          <w:spacing w:val="0"/>
          <w:sz w:val="32"/>
          <w:szCs w:val="32"/>
          <w:shd w:val="clear" w:fill="FDFDFE"/>
        </w:rPr>
        <w:t>进一步健全消防安全责任体系，完善商务领域“一件事”全链条安全监管机制，夯实消防安全基础，提升商务领域各企业消防安全自主管理能力</w:t>
      </w:r>
      <w:r>
        <w:rPr>
          <w:rFonts w:hint="eastAsia" w:ascii="仿宋_GB2312" w:hAnsi="仿宋_GB2312" w:eastAsia="仿宋_GB2312" w:cs="仿宋_GB2312"/>
          <w:i w:val="0"/>
          <w:iCs w:val="0"/>
          <w:caps w:val="0"/>
          <w:color w:val="auto"/>
          <w:spacing w:val="0"/>
          <w:sz w:val="32"/>
          <w:szCs w:val="32"/>
          <w:shd w:val="clear" w:fill="FDFDFE"/>
          <w:lang w:eastAsia="zh-CN"/>
        </w:rPr>
        <w:t>，</w:t>
      </w:r>
      <w:r>
        <w:rPr>
          <w:rFonts w:hint="eastAsia" w:ascii="仿宋_GB2312" w:hAnsi="仿宋_GB2312" w:eastAsia="仿宋_GB2312" w:cs="仿宋_GB2312"/>
          <w:color w:val="auto"/>
          <w:sz w:val="32"/>
          <w:szCs w:val="32"/>
        </w:rPr>
        <w:t>在统筹发展和安全的基础上，树牢安全发展理念，强化底线思维和红线意识，安全生产治理模式向事前预防转型，努力从根本上消除事故隐患，为商务</w:t>
      </w:r>
      <w:r>
        <w:rPr>
          <w:rFonts w:hint="eastAsia" w:ascii="仿宋_GB2312" w:hAnsi="仿宋_GB2312" w:eastAsia="仿宋_GB2312" w:cs="仿宋_GB2312"/>
          <w:color w:val="auto"/>
          <w:sz w:val="32"/>
          <w:szCs w:val="32"/>
          <w:lang w:eastAsia="zh-CN"/>
        </w:rPr>
        <w:t>领域</w:t>
      </w:r>
      <w:r>
        <w:rPr>
          <w:rFonts w:hint="eastAsia" w:ascii="仿宋_GB2312" w:hAnsi="仿宋_GB2312" w:eastAsia="仿宋_GB2312" w:cs="仿宋_GB2312"/>
          <w:color w:val="auto"/>
          <w:sz w:val="32"/>
          <w:szCs w:val="32"/>
        </w:rPr>
        <w:t>高质量发展提供有力安全保障。</w:t>
      </w:r>
    </w:p>
    <w:p w14:paraId="442051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二、主要任务</w:t>
      </w:r>
    </w:p>
    <w:p w14:paraId="3B3AF16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（一）学习宣传贯彻习近平总书记关于安全生产重要论述。</w:t>
      </w:r>
      <w:r>
        <w:rPr>
          <w:rFonts w:hint="eastAsia" w:ascii="仿宋_GB2312" w:hAnsi="仿宋_GB2312" w:eastAsia="仿宋_GB2312" w:cs="仿宋_GB2312"/>
          <w:color w:val="auto"/>
          <w:sz w:val="32"/>
          <w:szCs w:val="32"/>
        </w:rPr>
        <w:t>推动全</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商务领域企业坚持以习近平总书记关于安全生产重要论述武装头脑、指导实践，务必把安全生产摆到重要位置，切实解决思想认知不足、安全发展理念不牢和抓落实存在差距等突出问题；完善和落实安全生产责任和管理制度，健全落实“党政同责、一岗双责、齐抓共管、失职追责”“管行业必须管安全、管业务必须管安全、管生产经营必须管安全”的安全生产责任制，强化企业主体责任；完善安全生产体制机制，全面提升本质安全水平。</w:t>
      </w:r>
    </w:p>
    <w:p w14:paraId="0304196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kern w:val="2"/>
          <w:sz w:val="32"/>
          <w:szCs w:val="32"/>
        </w:rPr>
      </w:pPr>
      <w:r>
        <w:rPr>
          <w:rFonts w:hint="eastAsia" w:ascii="楷体_GB2312" w:hAnsi="楷体_GB2312" w:eastAsia="楷体_GB2312" w:cs="楷体_GB2312"/>
          <w:b/>
          <w:bCs/>
          <w:color w:val="auto"/>
          <w:sz w:val="32"/>
          <w:szCs w:val="32"/>
        </w:rPr>
        <w:t>（二）开展全</w:t>
      </w:r>
      <w:r>
        <w:rPr>
          <w:rFonts w:hint="eastAsia" w:ascii="楷体_GB2312" w:hAnsi="楷体_GB2312" w:eastAsia="楷体_GB2312" w:cs="楷体_GB2312"/>
          <w:b/>
          <w:bCs/>
          <w:color w:val="auto"/>
          <w:sz w:val="32"/>
          <w:szCs w:val="32"/>
          <w:lang w:eastAsia="zh-CN"/>
        </w:rPr>
        <w:t>区商贸领域企业</w:t>
      </w:r>
      <w:r>
        <w:rPr>
          <w:rFonts w:hint="eastAsia" w:ascii="楷体_GB2312" w:hAnsi="楷体_GB2312" w:eastAsia="楷体_GB2312" w:cs="楷体_GB2312"/>
          <w:b/>
          <w:bCs/>
          <w:color w:val="auto"/>
          <w:sz w:val="32"/>
          <w:szCs w:val="32"/>
        </w:rPr>
        <w:t>安全培训。</w:t>
      </w:r>
      <w:r>
        <w:rPr>
          <w:rFonts w:hint="eastAsia" w:ascii="仿宋_GB2312" w:hAnsi="仿宋_GB2312" w:eastAsia="仿宋_GB2312" w:cs="仿宋_GB2312"/>
          <w:color w:val="auto"/>
          <w:sz w:val="32"/>
          <w:szCs w:val="32"/>
        </w:rPr>
        <w:t>组织</w:t>
      </w:r>
      <w:r>
        <w:rPr>
          <w:rFonts w:hint="eastAsia" w:ascii="仿宋_GB2312" w:hAnsi="仿宋_GB2312" w:eastAsia="仿宋_GB2312" w:cs="仿宋_GB2312"/>
          <w:color w:val="auto"/>
          <w:sz w:val="32"/>
          <w:szCs w:val="32"/>
          <w:lang w:eastAsia="zh-CN"/>
        </w:rPr>
        <w:t>商贸</w:t>
      </w:r>
      <w:r>
        <w:rPr>
          <w:rFonts w:hint="eastAsia" w:ascii="仿宋_GB2312" w:hAnsi="仿宋_GB2312" w:eastAsia="仿宋_GB2312" w:cs="仿宋_GB2312"/>
          <w:color w:val="auto"/>
          <w:sz w:val="32"/>
          <w:szCs w:val="32"/>
        </w:rPr>
        <w:t>相关行业领域安全生产培训，对</w:t>
      </w:r>
      <w:r>
        <w:rPr>
          <w:rFonts w:hint="eastAsia" w:ascii="仿宋_GB2312" w:hAnsi="仿宋_GB2312" w:eastAsia="仿宋_GB2312" w:cs="仿宋_GB2312"/>
          <w:color w:val="auto"/>
          <w:sz w:val="32"/>
          <w:szCs w:val="32"/>
          <w:lang w:eastAsia="zh-CN"/>
        </w:rPr>
        <w:t>重点企业</w:t>
      </w:r>
      <w:r>
        <w:rPr>
          <w:rFonts w:hint="eastAsia" w:ascii="仿宋_GB2312" w:hAnsi="仿宋_GB2312" w:eastAsia="仿宋_GB2312" w:cs="仿宋_GB2312"/>
          <w:color w:val="auto"/>
          <w:sz w:val="32"/>
          <w:szCs w:val="32"/>
        </w:rPr>
        <w:t>负责</w:t>
      </w:r>
      <w:r>
        <w:rPr>
          <w:rFonts w:hint="eastAsia" w:ascii="仿宋_GB2312" w:hAnsi="仿宋_GB2312" w:eastAsia="仿宋_GB2312" w:cs="仿宋_GB2312"/>
          <w:color w:val="auto"/>
          <w:sz w:val="32"/>
          <w:szCs w:val="32"/>
          <w:lang w:eastAsia="zh-CN"/>
        </w:rPr>
        <w:t>人、餐饮企业负责人</w:t>
      </w:r>
      <w:r>
        <w:rPr>
          <w:rFonts w:hint="eastAsia" w:ascii="仿宋_GB2312" w:hAnsi="仿宋_GB2312" w:eastAsia="仿宋_GB2312" w:cs="仿宋_GB2312"/>
          <w:color w:val="auto"/>
          <w:sz w:val="32"/>
          <w:szCs w:val="32"/>
        </w:rPr>
        <w:t>开展安全生产培训，扎实推进企业安全生产治理体系和治理能力现代化。</w:t>
      </w:r>
      <w:r>
        <w:rPr>
          <w:rFonts w:hint="eastAsia" w:ascii="仿宋_GB2312" w:hAnsi="仿宋_GB2312" w:eastAsia="仿宋_GB2312" w:cs="仿宋_GB2312"/>
          <w:color w:val="auto"/>
          <w:kern w:val="2"/>
          <w:sz w:val="32"/>
          <w:szCs w:val="32"/>
          <w:lang w:eastAsia="zh-CN"/>
        </w:rPr>
        <w:t>商贸</w:t>
      </w:r>
      <w:r>
        <w:rPr>
          <w:rFonts w:hint="eastAsia" w:ascii="仿宋_GB2312" w:hAnsi="仿宋_GB2312" w:eastAsia="仿宋_GB2312" w:cs="仿宋_GB2312"/>
          <w:color w:val="auto"/>
          <w:kern w:val="2"/>
          <w:sz w:val="32"/>
          <w:szCs w:val="32"/>
        </w:rPr>
        <w:t>领域各企业要严格落实消防安全培训制度。新上岗和进入新岗位的员工，应当接受岗前消防安全培训，未经培训合格，不得上岗。餐饮企业要开展燃气安全专项培训，普及燃气安全常识，规范安全操作规程，提高应急处置能力。消防安全重点单位每年（公众聚集场所每半年）至少开展1次消防安全培训；三年内，分批组织单位所有员工开展“一懂三会”实操演练，提升人人会使用灭火器、消防栓扑救初期火灾和组织人员疏散的技能。</w:t>
      </w:r>
    </w:p>
    <w:p w14:paraId="4D89C20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（三）落实企业安全生产主体责任。</w:t>
      </w:r>
      <w:r>
        <w:rPr>
          <w:rFonts w:hint="eastAsia" w:ascii="仿宋_GB2312" w:hAnsi="仿宋_GB2312" w:eastAsia="仿宋_GB2312" w:cs="仿宋_GB2312"/>
          <w:color w:val="auto"/>
          <w:sz w:val="32"/>
          <w:szCs w:val="32"/>
        </w:rPr>
        <w:t>推动企业完善和落实重在从根本上消除事故隐患的企业安全生产责任链条、制度成果、管理办法、重点工程、工作机制和预防控制体系，扎实推进企业安全生产治理体系和治理能力现代化</w:t>
      </w:r>
      <w:r>
        <w:rPr>
          <w:rFonts w:hint="eastAsia" w:ascii="仿宋_GB2312" w:hAnsi="仿宋_GB2312" w:eastAsia="仿宋_GB2312" w:cs="仿宋_GB2312"/>
          <w:color w:val="auto"/>
          <w:sz w:val="32"/>
          <w:szCs w:val="32"/>
          <w:lang w:eastAsia="zh-CN"/>
        </w:rPr>
        <w:t>。一是</w:t>
      </w:r>
      <w:r>
        <w:rPr>
          <w:rFonts w:hint="eastAsia" w:ascii="仿宋_GB2312" w:hAnsi="仿宋_GB2312" w:eastAsia="仿宋_GB2312" w:cs="仿宋_GB2312"/>
          <w:i w:val="0"/>
          <w:iCs w:val="0"/>
          <w:caps w:val="0"/>
          <w:color w:val="auto"/>
          <w:spacing w:val="0"/>
          <w:sz w:val="32"/>
          <w:szCs w:val="32"/>
          <w:shd w:val="clear" w:fill="FDFDFE"/>
          <w:lang w:eastAsia="zh-CN"/>
        </w:rPr>
        <w:t>商贸</w:t>
      </w:r>
      <w:r>
        <w:rPr>
          <w:rFonts w:hint="eastAsia" w:ascii="仿宋_GB2312" w:hAnsi="仿宋_GB2312" w:eastAsia="仿宋_GB2312" w:cs="仿宋_GB2312"/>
          <w:i w:val="0"/>
          <w:iCs w:val="0"/>
          <w:caps w:val="0"/>
          <w:color w:val="auto"/>
          <w:spacing w:val="0"/>
          <w:sz w:val="32"/>
          <w:szCs w:val="32"/>
          <w:shd w:val="clear" w:fill="FDFDFE"/>
        </w:rPr>
        <w:t>领域各企业要对照重点场所火灾风险防范指南和检查指引开展自查自改，建立并完善重大火灾隐患排查整改常态化机制。</w:t>
      </w:r>
      <w:r>
        <w:rPr>
          <w:rFonts w:hint="eastAsia" w:ascii="仿宋_GB2312" w:hAnsi="仿宋_GB2312" w:eastAsia="仿宋_GB2312" w:cs="仿宋_GB2312"/>
          <w:i w:val="0"/>
          <w:iCs w:val="0"/>
          <w:caps w:val="0"/>
          <w:color w:val="auto"/>
          <w:spacing w:val="0"/>
          <w:sz w:val="32"/>
          <w:szCs w:val="32"/>
          <w:shd w:val="clear" w:fill="FDFDFE"/>
          <w:lang w:eastAsia="zh-CN"/>
        </w:rPr>
        <w:t>二是商贸企业</w:t>
      </w:r>
      <w:r>
        <w:rPr>
          <w:rFonts w:hint="eastAsia" w:ascii="仿宋_GB2312" w:hAnsi="仿宋_GB2312" w:eastAsia="仿宋_GB2312" w:cs="仿宋_GB2312"/>
          <w:i w:val="0"/>
          <w:iCs w:val="0"/>
          <w:caps w:val="0"/>
          <w:color w:val="auto"/>
          <w:spacing w:val="0"/>
          <w:sz w:val="32"/>
          <w:szCs w:val="32"/>
          <w:shd w:val="clear" w:fill="FDFDFE"/>
        </w:rPr>
        <w:t>全面推行单位风险隐患“自知、自查、自改”和公示承诺制度，培养单位消防安全管理明白人，健全消防安全自主管理机制</w:t>
      </w:r>
      <w:r>
        <w:rPr>
          <w:rFonts w:hint="eastAsia" w:ascii="仿宋_GB2312" w:hAnsi="仿宋_GB2312" w:eastAsia="仿宋_GB2312" w:cs="仿宋_GB2312"/>
          <w:i w:val="0"/>
          <w:iCs w:val="0"/>
          <w:caps w:val="0"/>
          <w:color w:val="auto"/>
          <w:spacing w:val="0"/>
          <w:sz w:val="32"/>
          <w:szCs w:val="32"/>
          <w:shd w:val="clear" w:fill="FDFDFE"/>
          <w:lang w:eastAsia="zh-CN"/>
        </w:rPr>
        <w:t>。三是</w:t>
      </w:r>
      <w:r>
        <w:rPr>
          <w:rFonts w:hint="eastAsia" w:ascii="仿宋_GB2312" w:hAnsi="仿宋_GB2312" w:eastAsia="仿宋_GB2312" w:cs="仿宋_GB2312"/>
          <w:color w:val="auto"/>
          <w:kern w:val="2"/>
          <w:sz w:val="32"/>
          <w:szCs w:val="32"/>
          <w:lang w:eastAsia="zh-CN"/>
        </w:rPr>
        <w:t>商贸</w:t>
      </w:r>
      <w:r>
        <w:rPr>
          <w:rFonts w:hint="eastAsia" w:ascii="仿宋_GB2312" w:hAnsi="仿宋_GB2312" w:eastAsia="仿宋_GB2312" w:cs="仿宋_GB2312"/>
          <w:color w:val="auto"/>
          <w:kern w:val="2"/>
          <w:sz w:val="32"/>
          <w:szCs w:val="32"/>
        </w:rPr>
        <w:t>领域各企业主要负责人每季度带队至少开展1次检查，</w:t>
      </w:r>
      <w:r>
        <w:rPr>
          <w:rFonts w:hint="eastAsia" w:ascii="仿宋_GB2312" w:hAnsi="仿宋_GB2312" w:eastAsia="仿宋_GB2312" w:cs="仿宋_GB2312"/>
          <w:color w:val="auto"/>
          <w:sz w:val="32"/>
          <w:szCs w:val="32"/>
          <w:lang w:val="en-US" w:eastAsia="zh-CN"/>
        </w:rPr>
        <w:t>完善并落实生产经营单位全员安全生产岗位责任制，</w:t>
      </w:r>
      <w:r>
        <w:rPr>
          <w:rFonts w:hint="eastAsia" w:ascii="仿宋_GB2312" w:hAnsi="仿宋_GB2312" w:eastAsia="仿宋_GB2312" w:cs="仿宋_GB2312"/>
          <w:color w:val="auto"/>
          <w:kern w:val="2"/>
          <w:sz w:val="32"/>
          <w:szCs w:val="32"/>
          <w:lang w:eastAsia="zh-CN"/>
        </w:rPr>
        <w:t>完善</w:t>
      </w:r>
      <w:r>
        <w:rPr>
          <w:rFonts w:hint="eastAsia" w:ascii="仿宋_GB2312" w:hAnsi="仿宋_GB2312" w:eastAsia="仿宋_GB2312" w:cs="仿宋_GB2312"/>
          <w:color w:val="auto"/>
          <w:kern w:val="2"/>
          <w:sz w:val="32"/>
          <w:szCs w:val="32"/>
        </w:rPr>
        <w:t>消防安全标准化管理，健全消防管理台账，在</w:t>
      </w:r>
      <w:r>
        <w:rPr>
          <w:rFonts w:hint="eastAsia" w:ascii="仿宋_GB2312" w:hAnsi="仿宋_GB2312" w:eastAsia="仿宋_GB2312" w:cs="仿宋_GB2312"/>
          <w:color w:val="auto"/>
          <w:kern w:val="2"/>
          <w:sz w:val="32"/>
          <w:szCs w:val="32"/>
          <w:lang w:eastAsia="zh-CN"/>
        </w:rPr>
        <w:t>节假日</w:t>
      </w:r>
      <w:r>
        <w:rPr>
          <w:rFonts w:hint="eastAsia" w:ascii="仿宋_GB2312" w:hAnsi="仿宋_GB2312" w:eastAsia="仿宋_GB2312" w:cs="仿宋_GB2312"/>
          <w:color w:val="auto"/>
          <w:kern w:val="2"/>
          <w:sz w:val="32"/>
          <w:szCs w:val="32"/>
        </w:rPr>
        <w:t>、重大活动安保等重要时期，严格落实消防安全管理“十五条”措施，形成“管理团队优化、岗位责任细化、培训演练实操、风险隐患上账”的</w:t>
      </w:r>
      <w:r>
        <w:rPr>
          <w:rFonts w:hint="eastAsia" w:ascii="仿宋_GB2312" w:hAnsi="仿宋_GB2312" w:eastAsia="仿宋_GB2312" w:cs="仿宋_GB2312"/>
          <w:color w:val="auto"/>
          <w:kern w:val="2"/>
          <w:sz w:val="32"/>
          <w:szCs w:val="32"/>
          <w:lang w:eastAsia="zh-CN"/>
        </w:rPr>
        <w:t>企业</w:t>
      </w:r>
      <w:r>
        <w:rPr>
          <w:rFonts w:hint="eastAsia" w:ascii="仿宋_GB2312" w:hAnsi="仿宋_GB2312" w:eastAsia="仿宋_GB2312" w:cs="仿宋_GB2312"/>
          <w:color w:val="auto"/>
          <w:kern w:val="2"/>
          <w:sz w:val="32"/>
          <w:szCs w:val="32"/>
        </w:rPr>
        <w:t>自主管理机制。</w:t>
      </w:r>
    </w:p>
    <w:p w14:paraId="104DF2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lang w:eastAsia="zh-CN"/>
        </w:rPr>
        <w:t>（四）</w:t>
      </w:r>
      <w:r>
        <w:rPr>
          <w:rFonts w:hint="eastAsia" w:ascii="楷体_GB2312" w:hAnsi="楷体_GB2312" w:eastAsia="楷体_GB2312" w:cs="楷体_GB2312"/>
          <w:b/>
          <w:bCs/>
          <w:color w:val="auto"/>
          <w:sz w:val="32"/>
          <w:szCs w:val="32"/>
        </w:rPr>
        <w:t>开展</w:t>
      </w:r>
      <w:r>
        <w:rPr>
          <w:rFonts w:hint="eastAsia" w:ascii="楷体_GB2312" w:hAnsi="楷体_GB2312" w:eastAsia="楷体_GB2312" w:cs="楷体_GB2312"/>
          <w:b/>
          <w:bCs/>
          <w:color w:val="auto"/>
          <w:sz w:val="32"/>
          <w:szCs w:val="32"/>
          <w:lang w:eastAsia="zh-CN"/>
        </w:rPr>
        <w:t>商贸</w:t>
      </w:r>
      <w:r>
        <w:rPr>
          <w:rFonts w:hint="eastAsia" w:ascii="楷体_GB2312" w:hAnsi="楷体_GB2312" w:eastAsia="楷体_GB2312" w:cs="楷体_GB2312"/>
          <w:b/>
          <w:bCs/>
          <w:color w:val="auto"/>
          <w:sz w:val="32"/>
          <w:szCs w:val="32"/>
        </w:rPr>
        <w:t>重点行业领域隐患排查整治。</w:t>
      </w:r>
      <w:r>
        <w:rPr>
          <w:rFonts w:hint="eastAsia" w:ascii="仿宋_GB2312" w:hAnsi="仿宋_GB2312" w:eastAsia="仿宋_GB2312" w:cs="仿宋_GB2312"/>
          <w:color w:val="auto"/>
          <w:kern w:val="2"/>
          <w:sz w:val="32"/>
          <w:szCs w:val="32"/>
          <w:lang w:eastAsia="zh-CN"/>
        </w:rPr>
        <w:t>各责任主体积极配合有关监管和执法部门开展餐饮燃气、大型商业综合体、住宿、展览等重点行业领域和“九小场所”及商贸</w:t>
      </w:r>
      <w:r>
        <w:rPr>
          <w:rFonts w:hint="eastAsia" w:ascii="仿宋_GB2312" w:hAnsi="仿宋_GB2312" w:eastAsia="仿宋_GB2312" w:cs="仿宋_GB2312"/>
          <w:b w:val="0"/>
          <w:bCs w:val="0"/>
          <w:color w:val="auto"/>
          <w:sz w:val="32"/>
          <w:szCs w:val="32"/>
          <w:lang w:eastAsia="zh-CN"/>
        </w:rPr>
        <w:t>领域自建房</w:t>
      </w:r>
      <w:r>
        <w:rPr>
          <w:rFonts w:hint="eastAsia" w:ascii="仿宋_GB2312" w:hAnsi="仿宋_GB2312" w:eastAsia="仿宋_GB2312" w:cs="仿宋_GB2312"/>
          <w:b w:val="0"/>
          <w:bCs w:val="0"/>
          <w:color w:val="auto"/>
          <w:sz w:val="32"/>
          <w:szCs w:val="32"/>
        </w:rPr>
        <w:t>的风险隐患排查整治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iCs w:val="0"/>
          <w:caps w:val="0"/>
          <w:color w:val="auto"/>
          <w:spacing w:val="0"/>
          <w:sz w:val="32"/>
          <w:szCs w:val="32"/>
          <w:shd w:val="clear" w:fill="FDFDFE"/>
          <w:lang w:eastAsia="zh-CN"/>
        </w:rPr>
        <w:t>一是要</w:t>
      </w:r>
      <w:r>
        <w:rPr>
          <w:rFonts w:hint="eastAsia" w:ascii="仿宋_GB2312" w:hAnsi="仿宋_GB2312" w:eastAsia="仿宋_GB2312" w:cs="仿宋_GB2312"/>
          <w:i w:val="0"/>
          <w:iCs w:val="0"/>
          <w:caps w:val="0"/>
          <w:color w:val="auto"/>
          <w:spacing w:val="0"/>
          <w:sz w:val="32"/>
          <w:szCs w:val="32"/>
          <w:shd w:val="clear" w:fill="FDFDFE"/>
        </w:rPr>
        <w:t>重点排查违规使用易燃可燃外墙保温、违规使用易燃可燃材料装修装饰、消防安全管理责任不明晰、占堵生命通道、建筑固定消防设施停用、损坏等突出问题。</w:t>
      </w:r>
      <w:r>
        <w:rPr>
          <w:rFonts w:hint="eastAsia" w:ascii="仿宋_GB2312" w:hAnsi="仿宋_GB2312" w:eastAsia="仿宋_GB2312" w:cs="仿宋_GB2312"/>
          <w:i w:val="0"/>
          <w:iCs w:val="0"/>
          <w:caps w:val="0"/>
          <w:color w:val="auto"/>
          <w:spacing w:val="0"/>
          <w:sz w:val="32"/>
          <w:szCs w:val="32"/>
          <w:shd w:val="clear" w:fill="FDFDFE"/>
          <w:lang w:eastAsia="zh-CN"/>
        </w:rPr>
        <w:t>二是</w:t>
      </w:r>
      <w:r>
        <w:rPr>
          <w:rFonts w:hint="eastAsia" w:ascii="仿宋_GB2312" w:hAnsi="仿宋_GB2312" w:eastAsia="仿宋_GB2312" w:cs="仿宋_GB2312"/>
          <w:color w:val="auto"/>
          <w:kern w:val="2"/>
          <w:sz w:val="32"/>
          <w:szCs w:val="32"/>
        </w:rPr>
        <w:t>沿街商铺、餐馆饭店、家庭旅馆等“</w:t>
      </w:r>
      <w:r>
        <w:rPr>
          <w:rFonts w:hint="eastAsia" w:ascii="仿宋_GB2312" w:hAnsi="仿宋_GB2312" w:eastAsia="仿宋_GB2312" w:cs="仿宋_GB2312"/>
          <w:color w:val="auto"/>
          <w:kern w:val="2"/>
          <w:sz w:val="32"/>
          <w:szCs w:val="32"/>
          <w:lang w:eastAsia="zh-CN"/>
        </w:rPr>
        <w:t>九</w:t>
      </w:r>
      <w:r>
        <w:rPr>
          <w:rFonts w:hint="eastAsia" w:ascii="仿宋_GB2312" w:hAnsi="仿宋_GB2312" w:eastAsia="仿宋_GB2312" w:cs="仿宋_GB2312"/>
          <w:color w:val="auto"/>
          <w:kern w:val="2"/>
          <w:sz w:val="32"/>
          <w:szCs w:val="32"/>
        </w:rPr>
        <w:t>场所”，要重点排查违章搭建、违规住人、违规用火用电用气等危险行为</w:t>
      </w:r>
      <w:r>
        <w:rPr>
          <w:rFonts w:hint="eastAsia" w:ascii="仿宋_GB2312" w:hAnsi="仿宋_GB2312" w:eastAsia="仿宋_GB2312" w:cs="仿宋_GB2312"/>
          <w:color w:val="auto"/>
          <w:kern w:val="2"/>
          <w:sz w:val="32"/>
          <w:szCs w:val="32"/>
          <w:lang w:eastAsia="zh-CN"/>
        </w:rPr>
        <w:t>。三是商贸</w:t>
      </w:r>
      <w:r>
        <w:rPr>
          <w:rFonts w:hint="eastAsia" w:ascii="仿宋_GB2312" w:hAnsi="仿宋_GB2312" w:eastAsia="仿宋_GB2312" w:cs="仿宋_GB2312"/>
          <w:color w:val="auto"/>
          <w:kern w:val="2"/>
          <w:sz w:val="32"/>
          <w:szCs w:val="32"/>
        </w:rPr>
        <w:t>领域自建房，要重点排查“前店后宅”“下店上宅”和“通天楼梯”等突出问题。</w:t>
      </w:r>
    </w:p>
    <w:p w14:paraId="112871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color w:val="auto"/>
          <w:sz w:val="32"/>
          <w:szCs w:val="32"/>
          <w:lang w:eastAsia="zh-CN"/>
        </w:rPr>
        <w:t>（五）强化消防安全整治。</w:t>
      </w:r>
      <w:r>
        <w:rPr>
          <w:rFonts w:hint="eastAsia" w:ascii="仿宋_GB2312" w:hAnsi="仿宋_GB2312" w:eastAsia="仿宋_GB2312" w:cs="仿宋_GB2312"/>
          <w:color w:val="auto"/>
          <w:sz w:val="32"/>
          <w:szCs w:val="32"/>
        </w:rPr>
        <w:t>深入推进</w:t>
      </w:r>
      <w:r>
        <w:rPr>
          <w:rFonts w:hint="eastAsia" w:ascii="仿宋_GB2312" w:hAnsi="仿宋_GB2312" w:eastAsia="仿宋_GB2312" w:cs="仿宋_GB2312"/>
          <w:color w:val="auto"/>
          <w:sz w:val="32"/>
          <w:szCs w:val="32"/>
          <w:lang w:eastAsia="zh-CN"/>
        </w:rPr>
        <w:t>商贸</w:t>
      </w:r>
      <w:r>
        <w:rPr>
          <w:rFonts w:hint="eastAsia" w:ascii="仿宋_GB2312" w:hAnsi="仿宋_GB2312" w:eastAsia="仿宋_GB2312" w:cs="仿宋_GB2312"/>
          <w:color w:val="auto"/>
          <w:sz w:val="32"/>
          <w:szCs w:val="32"/>
        </w:rPr>
        <w:t>领域安全综合整治，有效防范化解重大消防安全风险</w:t>
      </w:r>
      <w:r>
        <w:rPr>
          <w:rFonts w:hint="eastAsia" w:ascii="仿宋_GB2312" w:hAnsi="仿宋_GB2312" w:eastAsia="仿宋_GB2312" w:cs="仿宋_GB2312"/>
          <w:color w:val="auto"/>
          <w:sz w:val="32"/>
          <w:szCs w:val="32"/>
          <w:lang w:eastAsia="zh-CN"/>
        </w:rPr>
        <w:t>。各商贸企业一是</w:t>
      </w:r>
      <w:r>
        <w:rPr>
          <w:rFonts w:hint="eastAsia" w:ascii="仿宋_GB2312" w:hAnsi="仿宋_GB2312" w:eastAsia="仿宋_GB2312" w:cs="仿宋_GB2312"/>
          <w:color w:val="auto"/>
          <w:sz w:val="32"/>
          <w:szCs w:val="32"/>
        </w:rPr>
        <w:t>严格落实消防安全管理规则要求，优化落实各项消防管理制度。</w:t>
      </w:r>
      <w:r>
        <w:rPr>
          <w:rFonts w:hint="eastAsia" w:ascii="仿宋_GB2312" w:hAnsi="仿宋_GB2312" w:eastAsia="仿宋_GB2312" w:cs="仿宋_GB2312"/>
          <w:color w:val="auto"/>
          <w:sz w:val="32"/>
          <w:szCs w:val="32"/>
          <w:lang w:eastAsia="zh-CN"/>
        </w:rPr>
        <w:t>二是</w:t>
      </w:r>
      <w:r>
        <w:rPr>
          <w:rFonts w:hint="eastAsia" w:ascii="仿宋_GB2312" w:hAnsi="仿宋_GB2312" w:eastAsia="仿宋_GB2312" w:cs="仿宋_GB2312"/>
          <w:i w:val="0"/>
          <w:iCs w:val="0"/>
          <w:caps w:val="0"/>
          <w:color w:val="auto"/>
          <w:spacing w:val="0"/>
          <w:sz w:val="32"/>
          <w:szCs w:val="32"/>
          <w:shd w:val="clear" w:fill="FDFDFE"/>
        </w:rPr>
        <w:t>加强消防安全检查和监督</w:t>
      </w:r>
      <w:r>
        <w:rPr>
          <w:rFonts w:hint="eastAsia" w:ascii="仿宋_GB2312" w:hAnsi="仿宋_GB2312" w:eastAsia="仿宋_GB2312" w:cs="仿宋_GB2312"/>
          <w:i w:val="0"/>
          <w:iCs w:val="0"/>
          <w:caps w:val="0"/>
          <w:color w:val="auto"/>
          <w:spacing w:val="0"/>
          <w:sz w:val="32"/>
          <w:szCs w:val="32"/>
          <w:shd w:val="clear" w:fill="FDFDFE"/>
          <w:lang w:eastAsia="zh-CN"/>
        </w:rPr>
        <w:t>，</w:t>
      </w:r>
      <w:r>
        <w:rPr>
          <w:rFonts w:hint="eastAsia" w:ascii="仿宋_GB2312" w:hAnsi="仿宋_GB2312" w:eastAsia="仿宋_GB2312" w:cs="仿宋_GB2312"/>
          <w:i w:val="0"/>
          <w:iCs w:val="0"/>
          <w:caps w:val="0"/>
          <w:color w:val="auto"/>
          <w:spacing w:val="0"/>
          <w:sz w:val="32"/>
          <w:szCs w:val="32"/>
          <w:shd w:val="clear" w:fill="FDFDFE"/>
        </w:rPr>
        <w:t>定期开展消防安全检查：建立消防安全检查制度，定期对企业内的消防设施、电气线路等进行检查，及时发现和消除火灾隐患。</w:t>
      </w:r>
      <w:r>
        <w:rPr>
          <w:rFonts w:hint="eastAsia" w:ascii="仿宋_GB2312" w:hAnsi="仿宋_GB2312" w:eastAsia="仿宋_GB2312" w:cs="仿宋_GB2312"/>
          <w:i w:val="0"/>
          <w:iCs w:val="0"/>
          <w:caps w:val="0"/>
          <w:color w:val="auto"/>
          <w:spacing w:val="0"/>
          <w:sz w:val="32"/>
          <w:szCs w:val="32"/>
          <w:shd w:val="clear" w:fill="FDFDFE"/>
          <w:lang w:eastAsia="zh-CN"/>
        </w:rPr>
        <w:t>三是</w:t>
      </w:r>
      <w:r>
        <w:rPr>
          <w:rFonts w:hint="eastAsia" w:ascii="仿宋_GB2312" w:hAnsi="仿宋_GB2312" w:eastAsia="仿宋_GB2312" w:cs="仿宋_GB2312"/>
          <w:i w:val="0"/>
          <w:iCs w:val="0"/>
          <w:caps w:val="0"/>
          <w:color w:val="auto"/>
          <w:spacing w:val="0"/>
          <w:sz w:val="32"/>
          <w:szCs w:val="32"/>
          <w:shd w:val="clear" w:fill="FDFDFE"/>
        </w:rPr>
        <w:t>强化消防演练和应急处置</w:t>
      </w:r>
      <w:r>
        <w:rPr>
          <w:rFonts w:hint="eastAsia" w:ascii="仿宋_GB2312" w:hAnsi="仿宋_GB2312" w:eastAsia="仿宋_GB2312" w:cs="仿宋_GB2312"/>
          <w:i w:val="0"/>
          <w:iCs w:val="0"/>
          <w:caps w:val="0"/>
          <w:color w:val="auto"/>
          <w:spacing w:val="0"/>
          <w:sz w:val="32"/>
          <w:szCs w:val="32"/>
          <w:shd w:val="clear" w:fill="FDFDFE"/>
          <w:lang w:eastAsia="zh-CN"/>
        </w:rPr>
        <w:t>，</w:t>
      </w:r>
      <w:r>
        <w:rPr>
          <w:rFonts w:hint="eastAsia" w:ascii="仿宋_GB2312" w:hAnsi="仿宋_GB2312" w:eastAsia="仿宋_GB2312" w:cs="仿宋_GB2312"/>
          <w:i w:val="0"/>
          <w:iCs w:val="0"/>
          <w:caps w:val="0"/>
          <w:color w:val="auto"/>
          <w:spacing w:val="0"/>
          <w:sz w:val="32"/>
          <w:szCs w:val="32"/>
          <w:shd w:val="clear" w:fill="FDFDFE"/>
        </w:rPr>
        <w:t>编制火灾</w:t>
      </w:r>
      <w:r>
        <w:rPr>
          <w:rFonts w:hint="eastAsia" w:ascii="仿宋_GB2312" w:hAnsi="仿宋_GB2312" w:eastAsia="仿宋_GB2312" w:cs="仿宋_GB2312"/>
          <w:i w:val="0"/>
          <w:iCs w:val="0"/>
          <w:caps w:val="0"/>
          <w:color w:val="auto"/>
          <w:spacing w:val="0"/>
          <w:sz w:val="32"/>
          <w:szCs w:val="32"/>
          <w:shd w:val="clear" w:fill="FDFDFE"/>
          <w:lang w:eastAsia="zh-CN"/>
        </w:rPr>
        <w:t>等</w:t>
      </w:r>
      <w:r>
        <w:rPr>
          <w:rFonts w:hint="eastAsia" w:ascii="仿宋_GB2312" w:hAnsi="仿宋_GB2312" w:eastAsia="仿宋_GB2312" w:cs="仿宋_GB2312"/>
          <w:i w:val="0"/>
          <w:iCs w:val="0"/>
          <w:caps w:val="0"/>
          <w:color w:val="auto"/>
          <w:spacing w:val="0"/>
          <w:sz w:val="32"/>
          <w:szCs w:val="32"/>
          <w:shd w:val="clear" w:fill="FDFDFE"/>
        </w:rPr>
        <w:t>应急预案</w:t>
      </w:r>
      <w:r>
        <w:rPr>
          <w:rFonts w:hint="eastAsia" w:ascii="仿宋_GB2312" w:hAnsi="仿宋_GB2312" w:eastAsia="仿宋_GB2312" w:cs="仿宋_GB2312"/>
          <w:i w:val="0"/>
          <w:iCs w:val="0"/>
          <w:caps w:val="0"/>
          <w:color w:val="auto"/>
          <w:spacing w:val="0"/>
          <w:sz w:val="32"/>
          <w:szCs w:val="32"/>
          <w:shd w:val="clear" w:fill="FDFDFE"/>
          <w:lang w:eastAsia="zh-CN"/>
        </w:rPr>
        <w:t>，</w:t>
      </w:r>
      <w:r>
        <w:rPr>
          <w:rFonts w:hint="eastAsia" w:ascii="仿宋_GB2312" w:hAnsi="仿宋_GB2312" w:eastAsia="仿宋_GB2312" w:cs="仿宋_GB2312"/>
          <w:i w:val="0"/>
          <w:iCs w:val="0"/>
          <w:caps w:val="0"/>
          <w:color w:val="auto"/>
          <w:spacing w:val="0"/>
          <w:sz w:val="32"/>
          <w:szCs w:val="32"/>
          <w:shd w:val="clear" w:fill="FDFDFE"/>
        </w:rPr>
        <w:t>定期组织消防演练制定消防演练计划，定期组织员工进行火灾报警、疏散逃生等内容的演练，提高员工的自救逃生能力</w:t>
      </w:r>
      <w:r>
        <w:rPr>
          <w:rFonts w:hint="eastAsia" w:ascii="仿宋_GB2312" w:hAnsi="仿宋_GB2312" w:eastAsia="仿宋_GB2312" w:cs="仿宋_GB2312"/>
          <w:i w:val="0"/>
          <w:iCs w:val="0"/>
          <w:caps w:val="0"/>
          <w:color w:val="auto"/>
          <w:spacing w:val="0"/>
          <w:sz w:val="32"/>
          <w:szCs w:val="32"/>
          <w:shd w:val="clear" w:fill="FDFDFE"/>
          <w:lang w:eastAsia="zh-CN"/>
        </w:rPr>
        <w:t>。</w:t>
      </w:r>
    </w:p>
    <w:p w14:paraId="313B32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三、行动安排</w:t>
      </w:r>
    </w:p>
    <w:p w14:paraId="116AA0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从2024年至2026年，分三个阶段进行。</w:t>
      </w:r>
    </w:p>
    <w:p w14:paraId="4933F35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排查整治（2024年</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color w:val="auto"/>
          <w:sz w:val="32"/>
          <w:szCs w:val="32"/>
        </w:rPr>
        <w:t>对本辖区、本行业领域和重点单位场所、关键环节安全风险隐患进行深入细致排查治理，建立问题隐患和制度措施“两个清单”，制定时间表路线图，明确整改责任单位和整改要求，坚持边查边改、立查立改，加快推进实施，整治工作取得初步成效。</w:t>
      </w:r>
    </w:p>
    <w:p w14:paraId="69D58D3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集中攻坚（2025年）</w:t>
      </w:r>
      <w:r>
        <w:rPr>
          <w:rFonts w:hint="eastAsia" w:ascii="仿宋_GB2312" w:hAnsi="仿宋_GB2312" w:eastAsia="仿宋_GB2312" w:cs="仿宋_GB2312"/>
          <w:color w:val="auto"/>
          <w:sz w:val="32"/>
          <w:szCs w:val="32"/>
        </w:rPr>
        <w:t>集中精力、突出重点，通过各种形式和场合，推广标杆企业的经验等措施，加大专项整治攻坚力度，着力解决一批重点难点问题，补足体制机制、标准规范等方面存在的安全短板，落实和完善治理措施，推动建立健全公共安全隐患排查和安全预防控制体系，整治工作取得明显成效。</w:t>
      </w:r>
    </w:p>
    <w:p w14:paraId="402ABCC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（三</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巩固提升（2026年）</w:t>
      </w:r>
      <w:r>
        <w:rPr>
          <w:rFonts w:hint="eastAsia" w:ascii="仿宋_GB2312" w:hAnsi="仿宋_GB2312" w:eastAsia="仿宋_GB2312" w:cs="仿宋_GB2312"/>
          <w:color w:val="auto"/>
          <w:sz w:val="32"/>
          <w:szCs w:val="32"/>
        </w:rPr>
        <w:t>认真梳理前期工作中存在的问题，深入分析安全生产共性问题和突出隐患，深挖背后的深层次矛盾和原因，梳理出在法规标准、政策措施层面需要建立健全、补充完善的具体制度，逐项推动落实。</w:t>
      </w:r>
    </w:p>
    <w:p w14:paraId="002702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四、保障措施</w:t>
      </w:r>
    </w:p>
    <w:p w14:paraId="58221F0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（一</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加强组织领导</w:t>
      </w:r>
      <w:r>
        <w:rPr>
          <w:rFonts w:hint="eastAsia" w:ascii="楷体_GB2312" w:hAnsi="楷体_GB2312" w:eastAsia="楷体_GB2312" w:cs="楷体_GB2312"/>
          <w:color w:val="auto"/>
          <w:sz w:val="32"/>
          <w:szCs w:val="32"/>
          <w:lang w:eastAsia="zh-CN"/>
        </w:rPr>
        <w:t>。</w:t>
      </w:r>
      <w:r>
        <w:rPr>
          <w:rFonts w:hint="eastAsia" w:ascii="仿宋_GB2312" w:hAnsi="仿宋_GB2312" w:eastAsia="仿宋_GB2312" w:cs="仿宋_GB2312"/>
          <w:color w:val="auto"/>
          <w:sz w:val="32"/>
          <w:szCs w:val="32"/>
        </w:rPr>
        <w:t>高度重视商务系统安全生产治本攻坚三年行动，结合本地实际制定实施方案，明确治本攻坚年度目标、任务分工和保障措施。建立三年行动专班专人专责制度，定期调度通报，加强工作推动，确保圆满完成全</w:t>
      </w:r>
      <w:r>
        <w:rPr>
          <w:rFonts w:hint="eastAsia" w:ascii="仿宋_GB2312" w:hAnsi="仿宋_GB2312" w:eastAsia="仿宋_GB2312" w:cs="仿宋_GB2312"/>
          <w:color w:val="auto"/>
          <w:sz w:val="32"/>
          <w:szCs w:val="32"/>
          <w:lang w:eastAsia="zh-CN"/>
        </w:rPr>
        <w:t>区商务</w:t>
      </w:r>
      <w:r>
        <w:rPr>
          <w:rFonts w:hint="eastAsia" w:ascii="仿宋_GB2312" w:hAnsi="仿宋_GB2312" w:eastAsia="仿宋_GB2312" w:cs="仿宋_GB2312"/>
          <w:color w:val="auto"/>
          <w:sz w:val="32"/>
          <w:szCs w:val="32"/>
        </w:rPr>
        <w:t>领域三年行动目标任务。</w:t>
      </w:r>
    </w:p>
    <w:p w14:paraId="04BC2EB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二）</w:t>
      </w:r>
      <w:r>
        <w:rPr>
          <w:rFonts w:hint="eastAsia" w:ascii="楷体_GB2312" w:hAnsi="楷体_GB2312" w:eastAsia="楷体_GB2312" w:cs="楷体_GB2312"/>
          <w:b/>
          <w:bCs/>
          <w:color w:val="auto"/>
          <w:sz w:val="32"/>
          <w:szCs w:val="32"/>
        </w:rPr>
        <w:t>强化指导督促</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color w:val="auto"/>
          <w:sz w:val="32"/>
          <w:szCs w:val="32"/>
        </w:rPr>
        <w:t>进一步加强商贸行业安全生产管理，完善督促指导机制，创新督促指导方式，推动安全生产要求和日常业务工作相结合，利用座谈交流、会议调研、工作提醒等多种形式加强对行业和地方安全生产工作的指导，及时发现和协调解决工作中堵点难点问题。</w:t>
      </w:r>
    </w:p>
    <w:p w14:paraId="63A163C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三）</w:t>
      </w:r>
      <w:r>
        <w:rPr>
          <w:rFonts w:hint="eastAsia" w:ascii="楷体_GB2312" w:hAnsi="楷体_GB2312" w:eastAsia="楷体_GB2312" w:cs="楷体_GB2312"/>
          <w:b/>
          <w:bCs/>
          <w:color w:val="auto"/>
          <w:sz w:val="32"/>
          <w:szCs w:val="32"/>
        </w:rPr>
        <w:t>加强部门协同</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color w:val="auto"/>
          <w:sz w:val="32"/>
          <w:szCs w:val="32"/>
        </w:rPr>
        <w:t>主动与相关监管和执法部门加强信息交流、共享，协同开展商务领域安全生产管理工作。在积极配合开展风险隐患排查整治工作的同时，加强监管执法结果运用，对监管和执法部门处罚的发生较大安全生产事故或拒绝整改造成严重不良影响的企业，探索建立黑名单制度，不再给予各类商务领域示范、引导性政策支持。</w:t>
      </w:r>
    </w:p>
    <w:p w14:paraId="62BB26B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360" w:leftChars="0" w:right="0" w:rightChars="0"/>
        <w:jc w:val="left"/>
        <w:rPr>
          <w:rFonts w:hint="eastAsia" w:ascii="仿宋_GB2312" w:hAnsi="仿宋_GB2312" w:eastAsia="仿宋_GB2312" w:cs="仿宋_GB2312"/>
          <w:color w:val="auto"/>
          <w:sz w:val="32"/>
          <w:szCs w:val="32"/>
          <w:lang w:eastAsia="zh-CN"/>
        </w:rPr>
      </w:pPr>
    </w:p>
    <w:p w14:paraId="6B59A70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right="0" w:rightChars="0" w:firstLine="640" w:firstLineChars="200"/>
        <w:jc w:val="left"/>
        <w:rPr>
          <w:rFonts w:hint="eastAsia" w:ascii="仿宋_GB2312" w:hAnsi="仿宋_GB2312" w:eastAsia="宋体" w:cs="仿宋_GB2312"/>
          <w:color w:val="auto"/>
          <w:sz w:val="32"/>
          <w:szCs w:val="32"/>
          <w:lang w:eastAsia="zh-CN"/>
        </w:rPr>
      </w:pPr>
    </w:p>
    <w:p w14:paraId="4758396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right="0" w:rightChars="0"/>
        <w:jc w:val="left"/>
        <w:rPr>
          <w:rFonts w:hint="eastAsia" w:ascii="仿宋_GB2312" w:hAnsi="仿宋_GB2312" w:eastAsia="仿宋_GB2312" w:cs="仿宋_GB2312"/>
          <w:color w:val="auto"/>
          <w:kern w:val="2"/>
          <w:sz w:val="32"/>
          <w:szCs w:val="32"/>
        </w:rPr>
      </w:pPr>
    </w:p>
    <w:p w14:paraId="6CCE57F2">
      <w:pPr>
        <w:pStyle w:val="2"/>
        <w:rPr>
          <w:rFonts w:hint="default" w:ascii="Times New Roman" w:hAnsi="Times New Roman" w:eastAsia="仿宋_GB2312" w:cs="Times New Roman"/>
          <w:color w:val="auto"/>
          <w:sz w:val="32"/>
          <w:szCs w:val="32"/>
        </w:rPr>
      </w:pPr>
    </w:p>
    <w:p w14:paraId="704C03A2">
      <w:pPr>
        <w:pStyle w:val="2"/>
        <w:rPr>
          <w:rFonts w:hint="default" w:ascii="Times New Roman" w:hAnsi="Times New Roman" w:eastAsia="仿宋_GB2312" w:cs="Times New Roman"/>
          <w:color w:val="auto"/>
          <w:sz w:val="32"/>
          <w:szCs w:val="32"/>
        </w:rPr>
      </w:pPr>
    </w:p>
    <w:p w14:paraId="4FA4055E">
      <w:pPr>
        <w:pStyle w:val="2"/>
        <w:rPr>
          <w:rFonts w:hint="default" w:ascii="Times New Roman" w:hAnsi="Times New Roman" w:eastAsia="仿宋_GB2312" w:cs="Times New Roman"/>
          <w:color w:val="auto"/>
          <w:sz w:val="32"/>
          <w:szCs w:val="32"/>
        </w:rPr>
      </w:pPr>
    </w:p>
    <w:p w14:paraId="1B821F71">
      <w:pPr>
        <w:pStyle w:val="2"/>
        <w:rPr>
          <w:rFonts w:hint="default" w:ascii="Times New Roman" w:hAnsi="Times New Roman" w:eastAsia="仿宋_GB2312" w:cs="Times New Roman"/>
          <w:color w:val="auto"/>
          <w:sz w:val="32"/>
          <w:szCs w:val="32"/>
        </w:rPr>
      </w:pPr>
    </w:p>
    <w:p w14:paraId="19C58DE5">
      <w:pPr>
        <w:pStyle w:val="2"/>
        <w:rPr>
          <w:rFonts w:hint="default" w:ascii="Times New Roman" w:hAnsi="Times New Roman" w:eastAsia="仿宋_GB2312" w:cs="Times New Roman"/>
          <w:color w:val="auto"/>
          <w:sz w:val="32"/>
          <w:szCs w:val="32"/>
        </w:rPr>
      </w:pPr>
    </w:p>
    <w:p w14:paraId="751AC73F">
      <w:pPr>
        <w:pStyle w:val="2"/>
        <w:rPr>
          <w:rFonts w:hint="default" w:ascii="Times New Roman" w:hAnsi="Times New Roman" w:eastAsia="仿宋_GB2312" w:cs="Times New Roman"/>
          <w:color w:val="auto"/>
          <w:sz w:val="32"/>
          <w:szCs w:val="32"/>
        </w:rPr>
      </w:pPr>
    </w:p>
    <w:p w14:paraId="4F23C5D2">
      <w:pPr>
        <w:pStyle w:val="2"/>
        <w:rPr>
          <w:rFonts w:hint="default" w:ascii="Times New Roman" w:hAnsi="Times New Roman" w:eastAsia="仿宋_GB2312" w:cs="Times New Roman"/>
          <w:color w:val="auto"/>
          <w:sz w:val="32"/>
          <w:szCs w:val="32"/>
        </w:rPr>
      </w:pPr>
    </w:p>
    <w:p w14:paraId="71E15F04">
      <w:pPr>
        <w:pStyle w:val="2"/>
        <w:rPr>
          <w:rFonts w:hint="default" w:ascii="Times New Roman" w:hAnsi="Times New Roman" w:eastAsia="仿宋_GB2312" w:cs="Times New Roman"/>
          <w:color w:val="auto"/>
          <w:sz w:val="32"/>
          <w:szCs w:val="32"/>
        </w:rPr>
      </w:pPr>
    </w:p>
    <w:p w14:paraId="17B3A98A">
      <w:pPr>
        <w:pStyle w:val="2"/>
        <w:rPr>
          <w:rFonts w:hint="default" w:ascii="Times New Roman" w:hAnsi="Times New Roman" w:eastAsia="仿宋_GB2312" w:cs="Times New Roman"/>
          <w:color w:val="auto"/>
          <w:sz w:val="32"/>
          <w:szCs w:val="32"/>
        </w:rPr>
      </w:pPr>
    </w:p>
    <w:p w14:paraId="51DE6FF1">
      <w:pPr>
        <w:pStyle w:val="2"/>
        <w:rPr>
          <w:rFonts w:hint="default" w:ascii="Times New Roman" w:hAnsi="Times New Roman" w:eastAsia="仿宋_GB2312" w:cs="Times New Roman"/>
          <w:color w:val="auto"/>
          <w:sz w:val="32"/>
          <w:szCs w:val="32"/>
        </w:rPr>
      </w:pPr>
    </w:p>
    <w:p w14:paraId="0F49846F">
      <w:pPr>
        <w:pStyle w:val="2"/>
        <w:rPr>
          <w:rFonts w:hint="default" w:ascii="Times New Roman" w:hAnsi="Times New Roman" w:eastAsia="仿宋_GB2312" w:cs="Times New Roman"/>
          <w:color w:val="auto"/>
          <w:sz w:val="32"/>
          <w:szCs w:val="32"/>
        </w:rPr>
      </w:pPr>
    </w:p>
    <w:p w14:paraId="44D0EB06">
      <w:pPr>
        <w:pStyle w:val="2"/>
        <w:ind w:firstLine="640"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（公开前需经政府信息公开审查）</w:t>
      </w:r>
    </w:p>
    <w:p w14:paraId="0F6279A1">
      <w:pPr>
        <w:pStyle w:val="2"/>
        <w:rPr>
          <w:rFonts w:hint="default" w:ascii="Times New Roman" w:hAnsi="Times New Roman" w:eastAsia="仿宋_GB2312" w:cs="Times New Roman"/>
          <w:color w:val="auto"/>
          <w:sz w:val="32"/>
          <w:szCs w:val="32"/>
        </w:rPr>
      </w:pPr>
    </w:p>
    <w:p w14:paraId="16735784">
      <w:pPr>
        <w:pStyle w:val="2"/>
        <w:rPr>
          <w:rFonts w:hint="default" w:ascii="Times New Roman" w:hAnsi="Times New Roman" w:eastAsia="仿宋_GB2312" w:cs="Times New Roman"/>
          <w:color w:val="auto"/>
          <w:sz w:val="32"/>
          <w:szCs w:val="32"/>
        </w:rPr>
      </w:pPr>
    </w:p>
    <w:p w14:paraId="2458AA67">
      <w:pPr>
        <w:spacing w:line="520" w:lineRule="exact"/>
        <w:rPr>
          <w:rFonts w:hint="default" w:ascii="黑体" w:hAnsi="黑体" w:eastAsia="黑体"/>
          <w:color w:val="auto"/>
          <w:sz w:val="32"/>
          <w:szCs w:val="32"/>
          <w:u w:val="single"/>
          <w:lang w:val="en-US"/>
        </w:rPr>
      </w:pPr>
      <w:r>
        <w:rPr>
          <w:rFonts w:hint="eastAsia" w:ascii="黑体" w:hAnsi="黑体" w:eastAsia="黑体"/>
          <w:color w:val="auto"/>
          <w:sz w:val="32"/>
          <w:szCs w:val="32"/>
          <w:u w:val="single"/>
          <w:lang w:val="en-US" w:eastAsia="zh-CN"/>
        </w:rPr>
        <w:t xml:space="preserve">                                                   </w:t>
      </w:r>
    </w:p>
    <w:p w14:paraId="29C531E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single"/>
        </w:rPr>
        <w:t xml:space="preserve">柳州市城中区商务局                  </w:t>
      </w:r>
      <w:r>
        <w:rPr>
          <w:rFonts w:hint="eastAsia" w:ascii="仿宋_GB2312" w:hAnsi="仿宋_GB2312" w:eastAsia="仿宋_GB2312" w:cs="仿宋_GB2312"/>
          <w:color w:val="auto"/>
          <w:sz w:val="28"/>
          <w:szCs w:val="28"/>
          <w:u w:val="single"/>
          <w:lang w:val="en-US" w:eastAsia="zh-CN"/>
        </w:rPr>
        <w:t xml:space="preserve"> 2</w:t>
      </w:r>
      <w:r>
        <w:rPr>
          <w:rFonts w:hint="eastAsia" w:ascii="仿宋_GB2312" w:hAnsi="仿宋_GB2312" w:eastAsia="仿宋_GB2312" w:cs="仿宋_GB2312"/>
          <w:color w:val="auto"/>
          <w:sz w:val="28"/>
          <w:szCs w:val="28"/>
          <w:u w:val="single"/>
        </w:rPr>
        <w:t>0</w:t>
      </w:r>
      <w:r>
        <w:rPr>
          <w:rFonts w:hint="eastAsia" w:ascii="仿宋_GB2312" w:hAnsi="仿宋_GB2312" w:eastAsia="仿宋_GB2312" w:cs="仿宋_GB2312"/>
          <w:color w:val="auto"/>
          <w:sz w:val="28"/>
          <w:szCs w:val="28"/>
          <w:u w:val="single"/>
          <w:lang w:val="en-US" w:eastAsia="zh-CN"/>
        </w:rPr>
        <w:t>24</w:t>
      </w:r>
      <w:r>
        <w:rPr>
          <w:rFonts w:hint="eastAsia" w:ascii="仿宋_GB2312" w:hAnsi="仿宋_GB2312" w:eastAsia="仿宋_GB2312" w:cs="仿宋_GB2312"/>
          <w:color w:val="auto"/>
          <w:sz w:val="28"/>
          <w:szCs w:val="28"/>
          <w:u w:val="single"/>
        </w:rPr>
        <w:t>年</w:t>
      </w:r>
      <w:r>
        <w:rPr>
          <w:rFonts w:hint="eastAsia" w:ascii="仿宋_GB2312" w:hAnsi="仿宋_GB2312" w:eastAsia="仿宋_GB2312" w:cs="仿宋_GB2312"/>
          <w:color w:val="auto"/>
          <w:sz w:val="28"/>
          <w:szCs w:val="28"/>
          <w:u w:val="single"/>
          <w:lang w:val="en-US" w:eastAsia="zh-CN"/>
        </w:rPr>
        <w:t>3</w:t>
      </w:r>
      <w:r>
        <w:rPr>
          <w:rFonts w:hint="eastAsia" w:ascii="仿宋_GB2312" w:hAnsi="仿宋_GB2312" w:eastAsia="仿宋_GB2312" w:cs="仿宋_GB2312"/>
          <w:color w:val="auto"/>
          <w:sz w:val="28"/>
          <w:szCs w:val="28"/>
          <w:u w:val="single"/>
        </w:rPr>
        <w:t>月</w:t>
      </w:r>
      <w:r>
        <w:rPr>
          <w:rFonts w:hint="eastAsia" w:ascii="仿宋_GB2312" w:hAnsi="仿宋_GB2312" w:eastAsia="仿宋_GB2312" w:cs="仿宋_GB2312"/>
          <w:color w:val="auto"/>
          <w:sz w:val="28"/>
          <w:szCs w:val="28"/>
          <w:u w:val="single"/>
          <w:lang w:val="en-US" w:eastAsia="zh-CN"/>
        </w:rPr>
        <w:t>15</w:t>
      </w:r>
      <w:r>
        <w:rPr>
          <w:rFonts w:hint="eastAsia" w:ascii="仿宋_GB2312" w:hAnsi="仿宋_GB2312" w:eastAsia="仿宋_GB2312" w:cs="仿宋_GB2312"/>
          <w:color w:val="auto"/>
          <w:sz w:val="28"/>
          <w:szCs w:val="28"/>
          <w:u w:val="single"/>
        </w:rPr>
        <w:t>日印发</w:t>
      </w:r>
      <w:r>
        <w:rPr>
          <w:rFonts w:hint="eastAsia" w:ascii="仿宋_GB2312" w:hAnsi="仿宋_GB2312" w:eastAsia="仿宋_GB2312" w:cs="仿宋_GB2312"/>
          <w:color w:val="auto"/>
          <w:sz w:val="28"/>
          <w:szCs w:val="28"/>
          <w:u w:val="single"/>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1BD4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5303B">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A5303B">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70364B"/>
    <w:rsid w:val="07F01A92"/>
    <w:rsid w:val="09544BDC"/>
    <w:rsid w:val="10B37B6E"/>
    <w:rsid w:val="1E145AF7"/>
    <w:rsid w:val="1FD93CCC"/>
    <w:rsid w:val="20912782"/>
    <w:rsid w:val="228A5774"/>
    <w:rsid w:val="276734B3"/>
    <w:rsid w:val="28BA7195"/>
    <w:rsid w:val="2B6B24EE"/>
    <w:rsid w:val="30FF0771"/>
    <w:rsid w:val="325149AB"/>
    <w:rsid w:val="35BB35B3"/>
    <w:rsid w:val="389E021A"/>
    <w:rsid w:val="3D2C4A2B"/>
    <w:rsid w:val="3FC65745"/>
    <w:rsid w:val="4770364B"/>
    <w:rsid w:val="47B7647F"/>
    <w:rsid w:val="4B9C0C9C"/>
    <w:rsid w:val="4EA524E3"/>
    <w:rsid w:val="53E65528"/>
    <w:rsid w:val="563F3E8D"/>
    <w:rsid w:val="58481CE4"/>
    <w:rsid w:val="596D67DA"/>
    <w:rsid w:val="598D15BC"/>
    <w:rsid w:val="599B41EF"/>
    <w:rsid w:val="5C753FBD"/>
    <w:rsid w:val="5F633EB0"/>
    <w:rsid w:val="64613B3E"/>
    <w:rsid w:val="64FB113D"/>
    <w:rsid w:val="675C2222"/>
    <w:rsid w:val="682927CE"/>
    <w:rsid w:val="6A35744C"/>
    <w:rsid w:val="6B6F3274"/>
    <w:rsid w:val="72F976C3"/>
    <w:rsid w:val="7679210F"/>
    <w:rsid w:val="7716762A"/>
    <w:rsid w:val="7C810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2662</Words>
  <Characters>2727</Characters>
  <Lines>0</Lines>
  <Paragraphs>0</Paragraphs>
  <TotalTime>1</TotalTime>
  <ScaleCrop>false</ScaleCrop>
  <LinksUpToDate>false</LinksUpToDate>
  <CharactersWithSpaces>2821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2024-03-13T08:26:00Z</dcterms:created>
  <dc:creator>lenovo</dc:creator>
  <cp:lastModifiedBy>Rancho</cp:lastModifiedBy>
  <cp:lastPrinted>2024-06-27T04:00:00Z</cp:lastPrinted>
  <dcterms:modified xsi:type="dcterms:W3CDTF">2025-03-07T06:24:08Z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C84D0DF2466E469FB554B38AABFB2C40</vt:lpwstr>
  </property>
  <property fmtid="{D5CDD505-2E9C-101B-9397-08002B2CF9AE}" pid="4" name="KSOTemplateDocerSaveRecord">
    <vt:lpwstr>eyJoZGlkIjoiMDcwYzMzZWU4MWNhNTdkNzY2M2IwZGRjOGFlMzgzMGMiLCJ1c2VySWQiOiI1NTk4NDAzOTcifQ==</vt:lpwstr>
  </property>
</Properties>
</file>