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600" w:hanging="1600" w:hangingChars="5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6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含兴奋剂药品</w:t>
      </w:r>
      <w:r>
        <w:rPr>
          <w:rFonts w:hint="eastAsia" w:ascii="方正小标宋简体" w:eastAsia="方正小标宋简体" w:cs="方正小标宋简体"/>
          <w:sz w:val="44"/>
          <w:szCs w:val="44"/>
        </w:rPr>
        <w:t>管理情况检查表（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零售药店）</w:t>
      </w:r>
    </w:p>
    <w:p>
      <w:pPr>
        <w:spacing w:line="640" w:lineRule="exact"/>
        <w:ind w:firstLine="630"/>
        <w:rPr>
          <w:rFonts w:ascii="仿宋_GB2312" w:eastAsia="仿宋_GB2312" w:cs="Courier New"/>
          <w:sz w:val="28"/>
          <w:szCs w:val="28"/>
        </w:rPr>
      </w:pPr>
      <w:r>
        <w:rPr>
          <w:rFonts w:hint="eastAsia" w:ascii="仿宋_GB2312" w:eastAsia="仿宋_GB2312" w:cs="Courier New"/>
          <w:sz w:val="28"/>
          <w:szCs w:val="28"/>
        </w:rPr>
        <w:t xml:space="preserve">检查企业：                                        </w:t>
      </w:r>
      <w:r>
        <w:rPr>
          <w:rFonts w:hint="eastAsia" w:ascii="仿宋_GB2312" w:eastAsia="仿宋_GB2312" w:cs="Courier New"/>
          <w:sz w:val="28"/>
          <w:szCs w:val="28"/>
          <w:lang w:eastAsia="zh-CN"/>
        </w:rPr>
        <w:t xml:space="preserve">              </w:t>
      </w:r>
      <w:r>
        <w:rPr>
          <w:rFonts w:hint="eastAsia" w:ascii="仿宋_GB2312" w:eastAsia="仿宋_GB2312" w:cs="Courier New"/>
          <w:sz w:val="28"/>
          <w:szCs w:val="28"/>
        </w:rPr>
        <w:t xml:space="preserve">   检查时间：     年  月  日</w:t>
      </w:r>
    </w:p>
    <w:tbl>
      <w:tblPr>
        <w:tblStyle w:val="4"/>
        <w:tblW w:w="1441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47"/>
        <w:gridCol w:w="5487"/>
        <w:gridCol w:w="4119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检查内容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检查方法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蛋白同化制剂肽类激素管理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是否擅自经营蛋肽（胰岛素除外）。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ind w:left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查货架及销售记录。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企业法人或主要负责人是否掌握蛋肽管理政策，是否对有关人员进行培训。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询问相关人员，查培训档案。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其他含兴奋剂药品管理情况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企业法人或主要负责人是否了解含兴奋剂药品加注标识规定。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询问。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是否经营含兴奋剂药品，如经营，是否建立含兴奋剂药品目录，并在店内醒目位置公示。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对照《2023年兴奋剂目录公告》，查看含兴奋剂药品目录及公示情况，检查公示品种与销售品种是否一致。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重点区域内的零售药店，是否在醒目位置张贴反兴奋剂宣传海报。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查看店内海报张贴情况。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是否在处方药品区、非处方药品区分别集中设置含兴奋剂类及去甲乌药碱药品专柜，专柜上是否贴有红底白字方正大黑简体字体的标识，专柜标识是否醒目。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查看专柜设置情况。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cs" w:ascii="仿宋_GB2312" w:eastAsia="仿宋_GB2312"/>
                <w:sz w:val="24"/>
              </w:rPr>
              <w:t>5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在店内安装摄像头，摄像头视野应覆盖每个含兴奋剂药品专柜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及收银台</w:t>
            </w:r>
            <w:r>
              <w:rPr>
                <w:rFonts w:hint="eastAsia" w:ascii="仿宋_GB2312" w:eastAsia="仿宋_GB2312"/>
                <w:sz w:val="24"/>
              </w:rPr>
              <w:t>，且信息数据保存不少于15天，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查看摄像头安装及数据保存情况。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所经营含兴奋剂药品是否按规定加注标识。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抽查10个品种，看药品看所附标签或说明书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是否存在不凭处方擅自销售兴奋剂药品单方制剂的行为，含兴奋剂药品复方制剂是否严格执行药品分类管理规定。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核查购进、库存及分类管理、处方登记留存等情况。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如果经营含《2023年兴奋剂目录》新列品种药品，且有2023年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月1日前生产未加注标识的，是否按规定“下架”或采取必要的补救措施。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抽查2个品种，看是否采取“下架”或补救措施的记录及证明材料。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销售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含</w:t>
            </w:r>
            <w:r>
              <w:rPr>
                <w:rFonts w:hint="eastAsia" w:ascii="仿宋_GB2312" w:eastAsia="仿宋_GB2312"/>
                <w:sz w:val="24"/>
              </w:rPr>
              <w:t>兴奋剂及去甲乌药碱药品时是否在外包装盒上加盖“运动员慎用”红印章，或加贴“运动员慎用”标贴（红印章和标贴的印章可自行确定，但必须字迹清晰，容易识别），明确告知购药者“运动员慎用”。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查看零售药店自制的“运动员慎用”标贴或红印章，询问相关人员如何销售含兴奋剂药品。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10"/>
              </w:tabs>
              <w:spacing w:line="320" w:lineRule="exact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检查发现其他问题</w:t>
            </w:r>
          </w:p>
        </w:tc>
        <w:tc>
          <w:tcPr>
            <w:tcW w:w="1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0"/>
              </w:tabs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line="320" w:lineRule="exact"/>
      </w:pPr>
      <w:r>
        <w:rPr>
          <w:rFonts w:hint="eastAsia" w:ascii="仿宋_GB2312" w:eastAsia="仿宋_GB2312" w:cs="Courier New"/>
          <w:sz w:val="28"/>
          <w:szCs w:val="28"/>
        </w:rPr>
        <w:t>检查派出单位：               检查人员签字：                  企业负责人签字（企业公章）：</w:t>
      </w:r>
    </w:p>
    <w:sectPr>
      <w:headerReference r:id="rId3" w:type="default"/>
      <w:footerReference r:id="rId4" w:type="default"/>
      <w:footerReference r:id="rId5" w:type="even"/>
      <w:pgSz w:w="16840" w:h="11907" w:orient="landscape"/>
      <w:pgMar w:top="1418" w:right="1418" w:bottom="1418" w:left="1418" w:header="720" w:footer="1531" w:gutter="0"/>
      <w:cols w:space="720" w:num="1"/>
      <w:docGrid w:type="line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rStyle w:val="6"/>
        <w:kern w:val="28"/>
        <w:sz w:val="28"/>
        <w:szCs w:val="28"/>
      </w:rPr>
      <w:fldChar w:fldCharType="begin"/>
    </w:r>
    <w:r>
      <w:rPr>
        <w:rStyle w:val="6"/>
        <w:kern w:val="28"/>
        <w:sz w:val="28"/>
        <w:szCs w:val="28"/>
      </w:rPr>
      <w:instrText xml:space="preserve"> PAGE </w:instrText>
    </w:r>
    <w:r>
      <w:rPr>
        <w:rStyle w:val="6"/>
        <w:kern w:val="28"/>
        <w:sz w:val="28"/>
        <w:szCs w:val="28"/>
      </w:rPr>
      <w:fldChar w:fldCharType="separate"/>
    </w:r>
    <w:r>
      <w:rPr>
        <w:rStyle w:val="6"/>
        <w:kern w:val="28"/>
        <w:sz w:val="28"/>
        <w:szCs w:val="28"/>
      </w:rPr>
      <w:t>3</w:t>
    </w:r>
    <w:r>
      <w:rPr>
        <w:rStyle w:val="6"/>
        <w:kern w:val="28"/>
        <w:sz w:val="28"/>
        <w:szCs w:val="28"/>
      </w:rPr>
      <w:fldChar w:fldCharType="end"/>
    </w:r>
    <w:r>
      <w:rPr>
        <w:rStyle w:val="6"/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kern w:val="28"/>
        <w:sz w:val="28"/>
        <w:szCs w:val="28"/>
        <w:lang w:eastAsia="zh-CN"/>
      </w:rPr>
    </w:pPr>
    <w:r>
      <w:rPr>
        <w:kern w:val="28"/>
        <w:sz w:val="28"/>
        <w:szCs w:val="28"/>
      </w:rPr>
      <w:t>—</w:t>
    </w:r>
    <w:r>
      <w:rPr>
        <w:spacing w:val="40"/>
        <w:kern w:val="28"/>
        <w:sz w:val="28"/>
        <w:szCs w:val="28"/>
      </w:rPr>
      <w:t xml:space="preserve"> </w:t>
    </w:r>
    <w:r>
      <w:rPr>
        <w:rStyle w:val="6"/>
        <w:kern w:val="28"/>
        <w:sz w:val="28"/>
        <w:szCs w:val="28"/>
      </w:rPr>
      <w:fldChar w:fldCharType="begin"/>
    </w:r>
    <w:r>
      <w:rPr>
        <w:rStyle w:val="6"/>
        <w:kern w:val="28"/>
        <w:sz w:val="28"/>
        <w:szCs w:val="28"/>
      </w:rPr>
      <w:instrText xml:space="preserve"> PAGE </w:instrText>
    </w:r>
    <w:r>
      <w:rPr>
        <w:rStyle w:val="6"/>
        <w:kern w:val="28"/>
        <w:sz w:val="28"/>
        <w:szCs w:val="28"/>
      </w:rPr>
      <w:fldChar w:fldCharType="separate"/>
    </w:r>
    <w:r>
      <w:rPr>
        <w:rStyle w:val="6"/>
        <w:kern w:val="28"/>
        <w:sz w:val="28"/>
        <w:szCs w:val="28"/>
      </w:rPr>
      <w:t>46</w:t>
    </w:r>
    <w:r>
      <w:rPr>
        <w:rStyle w:val="6"/>
        <w:kern w:val="28"/>
        <w:sz w:val="28"/>
        <w:szCs w:val="28"/>
      </w:rPr>
      <w:fldChar w:fldCharType="end"/>
    </w:r>
    <w:r>
      <w:rPr>
        <w:rStyle w:val="6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57"/>
    <w:rsid w:val="00343BD9"/>
    <w:rsid w:val="00401E6B"/>
    <w:rsid w:val="0055012C"/>
    <w:rsid w:val="005536DF"/>
    <w:rsid w:val="005669C5"/>
    <w:rsid w:val="005E1CDB"/>
    <w:rsid w:val="00926243"/>
    <w:rsid w:val="00982C2B"/>
    <w:rsid w:val="00A73557"/>
    <w:rsid w:val="00B16DA7"/>
    <w:rsid w:val="00BF4B6C"/>
    <w:rsid w:val="00C94CC1"/>
    <w:rsid w:val="00D51826"/>
    <w:rsid w:val="00D92514"/>
    <w:rsid w:val="00DF072D"/>
    <w:rsid w:val="00E74766"/>
    <w:rsid w:val="00E93759"/>
    <w:rsid w:val="00FF7111"/>
    <w:rsid w:val="FDB2B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</Words>
  <Characters>1753</Characters>
  <Lines>14</Lines>
  <Paragraphs>4</Paragraphs>
  <TotalTime>52</TotalTime>
  <ScaleCrop>false</ScaleCrop>
  <LinksUpToDate>false</LinksUpToDate>
  <CharactersWithSpaces>2056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2022-12-30T08:53:00Z</dcterms:created>
  <dc:creator>DELL</dc:creator>
  <cp:lastModifiedBy>吴文华</cp:lastModifiedBy>
  <dcterms:modified xsi:type="dcterms:W3CDTF">2023-03-08T09:50:52Z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