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firstLine="0" w:firstLineChars="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附件2</w:t>
      </w:r>
    </w:p>
    <w:p>
      <w:pPr>
        <w:adjustRightInd w:val="0"/>
        <w:snapToGrid w:val="0"/>
        <w:spacing w:line="570" w:lineRule="exact"/>
        <w:jc w:val="center"/>
        <w:rPr>
          <w:rFonts w:ascii="方正小标宋_GBK" w:eastAsia="方正小标宋_GBK"/>
          <w:sz w:val="44"/>
          <w:szCs w:val="44"/>
        </w:rPr>
      </w:pPr>
      <w:r>
        <w:rPr>
          <w:rFonts w:hint="eastAsia" w:ascii="方正小标宋_GBK" w:eastAsia="方正小标宋_GBK"/>
          <w:sz w:val="44"/>
          <w:szCs w:val="44"/>
        </w:rPr>
        <w:t>柳州市</w:t>
      </w:r>
      <w:r>
        <w:rPr>
          <w:rFonts w:hint="eastAsia" w:ascii="方正小标宋_GBK" w:eastAsia="方正小标宋_GBK"/>
          <w:sz w:val="44"/>
          <w:szCs w:val="44"/>
          <w:lang w:eastAsia="zh-CN"/>
        </w:rPr>
        <w:t>城中区司法局</w:t>
      </w:r>
      <w:r>
        <w:rPr>
          <w:rFonts w:hint="eastAsia" w:ascii="方正小标宋_GBK" w:eastAsia="方正小标宋_GBK"/>
          <w:sz w:val="44"/>
          <w:szCs w:val="44"/>
        </w:rPr>
        <w:t>权责清单</w:t>
      </w:r>
    </w:p>
    <w:tbl>
      <w:tblPr>
        <w:tblStyle w:val="4"/>
        <w:tblW w:w="13861" w:type="dxa"/>
        <w:jc w:val="center"/>
        <w:tblLayout w:type="fixed"/>
        <w:tblCellMar>
          <w:top w:w="28" w:type="dxa"/>
          <w:left w:w="28" w:type="dxa"/>
          <w:bottom w:w="28" w:type="dxa"/>
          <w:right w:w="28" w:type="dxa"/>
        </w:tblCellMar>
      </w:tblPr>
      <w:tblGrid>
        <w:gridCol w:w="324"/>
        <w:gridCol w:w="561"/>
        <w:gridCol w:w="567"/>
        <w:gridCol w:w="567"/>
        <w:gridCol w:w="552"/>
        <w:gridCol w:w="1050"/>
        <w:gridCol w:w="2133"/>
        <w:gridCol w:w="1386"/>
        <w:gridCol w:w="1567"/>
        <w:gridCol w:w="1533"/>
        <w:gridCol w:w="1550"/>
        <w:gridCol w:w="1471"/>
        <w:gridCol w:w="600"/>
      </w:tblGrid>
      <w:tr>
        <w:tblPrEx>
          <w:tblCellMar>
            <w:top w:w="28" w:type="dxa"/>
            <w:left w:w="28" w:type="dxa"/>
            <w:bottom w:w="28" w:type="dxa"/>
            <w:right w:w="28" w:type="dxa"/>
          </w:tblCellMar>
        </w:tblPrEx>
        <w:trPr>
          <w:trHeight w:val="28" w:hRule="atLeast"/>
          <w:jc w:val="center"/>
        </w:trPr>
        <w:tc>
          <w:tcPr>
            <w:tcW w:w="32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仿宋_GB2312" w:eastAsia="仿宋_GB2312"/>
                <w:sz w:val="44"/>
                <w:szCs w:val="44"/>
                <w:lang w:val="en-US" w:eastAsia="zh-CN"/>
              </w:rPr>
              <w:t xml:space="preserve">  </w:t>
            </w:r>
            <w:r>
              <w:rPr>
                <w:rFonts w:hint="eastAsia" w:ascii="方正黑体_GBK" w:hAnsi="黑体" w:eastAsia="方正黑体_GBK" w:cs="宋体"/>
                <w:color w:val="000000"/>
                <w:kern w:val="0"/>
                <w:sz w:val="20"/>
                <w:szCs w:val="20"/>
              </w:rPr>
              <w:t>序号</w:t>
            </w:r>
          </w:p>
        </w:tc>
        <w:tc>
          <w:tcPr>
            <w:tcW w:w="561" w:type="dxa"/>
            <w:vMerge w:val="restart"/>
            <w:tcBorders>
              <w:top w:val="single" w:color="auto" w:sz="4" w:space="0"/>
              <w:left w:val="nil"/>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权力分类</w:t>
            </w:r>
          </w:p>
        </w:tc>
        <w:tc>
          <w:tcPr>
            <w:tcW w:w="4869" w:type="dxa"/>
            <w:gridSpan w:val="5"/>
            <w:tcBorders>
              <w:top w:val="single" w:color="auto" w:sz="4" w:space="0"/>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权力清单</w:t>
            </w:r>
          </w:p>
        </w:tc>
        <w:tc>
          <w:tcPr>
            <w:tcW w:w="7507" w:type="dxa"/>
            <w:gridSpan w:val="5"/>
            <w:tcBorders>
              <w:top w:val="single" w:color="auto" w:sz="4" w:space="0"/>
              <w:left w:val="nil"/>
              <w:bottom w:val="single" w:color="auto" w:sz="4" w:space="0"/>
              <w:right w:val="nil"/>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责任清单</w:t>
            </w:r>
          </w:p>
        </w:tc>
        <w:tc>
          <w:tcPr>
            <w:tcW w:w="600" w:type="dxa"/>
            <w:tcBorders>
              <w:top w:val="single" w:color="auto" w:sz="4" w:space="0"/>
              <w:left w:val="nil"/>
              <w:right w:val="single" w:color="auto" w:sz="4" w:space="0"/>
            </w:tcBorders>
          </w:tcPr>
          <w:p>
            <w:pPr>
              <w:adjustRightInd w:val="0"/>
              <w:snapToGrid w:val="0"/>
              <w:spacing w:line="300" w:lineRule="exact"/>
              <w:jc w:val="center"/>
              <w:rPr>
                <w:rFonts w:ascii="方正黑体_GBK" w:hAnsi="黑体" w:eastAsia="方正黑体_GBK" w:cs="宋体"/>
                <w:color w:val="000000"/>
                <w:kern w:val="0"/>
                <w:sz w:val="20"/>
                <w:szCs w:val="20"/>
              </w:rPr>
            </w:pPr>
          </w:p>
        </w:tc>
      </w:tr>
      <w:tr>
        <w:tblPrEx>
          <w:tblCellMar>
            <w:top w:w="28" w:type="dxa"/>
            <w:left w:w="28" w:type="dxa"/>
            <w:bottom w:w="28" w:type="dxa"/>
            <w:right w:w="28" w:type="dxa"/>
          </w:tblCellMar>
        </w:tblPrEx>
        <w:trPr>
          <w:trHeight w:val="28" w:hRule="atLeast"/>
          <w:jc w:val="center"/>
        </w:trPr>
        <w:tc>
          <w:tcPr>
            <w:tcW w:w="324"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p>
        </w:tc>
        <w:tc>
          <w:tcPr>
            <w:tcW w:w="561" w:type="dxa"/>
            <w:vMerge w:val="continue"/>
            <w:tcBorders>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p>
        </w:tc>
        <w:tc>
          <w:tcPr>
            <w:tcW w:w="567"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项目名称</w:t>
            </w:r>
          </w:p>
        </w:tc>
        <w:tc>
          <w:tcPr>
            <w:tcW w:w="567"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子项名称</w:t>
            </w:r>
          </w:p>
        </w:tc>
        <w:tc>
          <w:tcPr>
            <w:tcW w:w="552"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实施</w:t>
            </w:r>
          </w:p>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主体</w:t>
            </w:r>
          </w:p>
        </w:tc>
        <w:tc>
          <w:tcPr>
            <w:tcW w:w="1050"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承办的</w:t>
            </w:r>
          </w:p>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内设机构</w:t>
            </w:r>
          </w:p>
        </w:tc>
        <w:tc>
          <w:tcPr>
            <w:tcW w:w="2133" w:type="dxa"/>
            <w:tcBorders>
              <w:top w:val="single" w:color="auto" w:sz="4" w:space="0"/>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实施依据</w:t>
            </w:r>
          </w:p>
        </w:tc>
        <w:tc>
          <w:tcPr>
            <w:tcW w:w="1386" w:type="dxa"/>
            <w:tcBorders>
              <w:top w:val="nil"/>
              <w:left w:val="single" w:color="auto" w:sz="4" w:space="0"/>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责任事项</w:t>
            </w:r>
          </w:p>
        </w:tc>
        <w:tc>
          <w:tcPr>
            <w:tcW w:w="1567"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责任事项依据</w:t>
            </w:r>
          </w:p>
        </w:tc>
        <w:tc>
          <w:tcPr>
            <w:tcW w:w="1533" w:type="dxa"/>
            <w:tcBorders>
              <w:top w:val="nil"/>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追责情形</w:t>
            </w:r>
          </w:p>
        </w:tc>
        <w:tc>
          <w:tcPr>
            <w:tcW w:w="1550" w:type="dxa"/>
            <w:tcBorders>
              <w:top w:val="nil"/>
              <w:left w:val="nil"/>
              <w:bottom w:val="single" w:color="auto" w:sz="4" w:space="0"/>
              <w:right w:val="nil"/>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追责依据</w:t>
            </w:r>
          </w:p>
        </w:tc>
        <w:tc>
          <w:tcPr>
            <w:tcW w:w="1471" w:type="dxa"/>
            <w:tcBorders>
              <w:top w:val="single" w:color="auto" w:sz="4" w:space="0"/>
              <w:left w:val="nil"/>
              <w:bottom w:val="single" w:color="auto" w:sz="4" w:space="0"/>
              <w:right w:val="single" w:color="auto" w:sz="4" w:space="0"/>
            </w:tcBorders>
            <w:vAlign w:val="center"/>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免责事项</w:t>
            </w:r>
          </w:p>
        </w:tc>
        <w:tc>
          <w:tcPr>
            <w:tcW w:w="600" w:type="dxa"/>
            <w:tcBorders>
              <w:left w:val="nil"/>
              <w:bottom w:val="single" w:color="auto" w:sz="4" w:space="0"/>
              <w:right w:val="single" w:color="auto" w:sz="4" w:space="0"/>
            </w:tcBorders>
          </w:tcPr>
          <w:p>
            <w:pPr>
              <w:adjustRightInd w:val="0"/>
              <w:snapToGrid w:val="0"/>
              <w:spacing w:line="300" w:lineRule="exact"/>
              <w:jc w:val="center"/>
              <w:rPr>
                <w:rFonts w:ascii="方正黑体_GBK" w:hAnsi="黑体" w:eastAsia="方正黑体_GBK" w:cs="宋体"/>
                <w:color w:val="000000"/>
                <w:kern w:val="0"/>
                <w:sz w:val="20"/>
                <w:szCs w:val="20"/>
              </w:rPr>
            </w:pPr>
            <w:r>
              <w:rPr>
                <w:rFonts w:hint="eastAsia" w:ascii="方正黑体_GBK" w:hAnsi="黑体" w:eastAsia="方正黑体_GBK" w:cs="宋体"/>
                <w:color w:val="000000"/>
                <w:kern w:val="0"/>
                <w:sz w:val="20"/>
                <w:szCs w:val="20"/>
              </w:rPr>
              <w:t>备注</w:t>
            </w:r>
          </w:p>
        </w:tc>
      </w:tr>
      <w:tr>
        <w:tblPrEx>
          <w:tblCellMar>
            <w:top w:w="28" w:type="dxa"/>
            <w:left w:w="28" w:type="dxa"/>
            <w:bottom w:w="28" w:type="dxa"/>
            <w:right w:w="28" w:type="dxa"/>
          </w:tblCellMar>
        </w:tblPrEx>
        <w:trPr>
          <w:trHeight w:val="2274" w:hRule="atLeast"/>
          <w:jc w:val="center"/>
        </w:trPr>
        <w:tc>
          <w:tcPr>
            <w:tcW w:w="324" w:type="dxa"/>
            <w:tcBorders>
              <w:top w:val="nil"/>
              <w:left w:val="single" w:color="auto" w:sz="4" w:space="0"/>
              <w:bottom w:val="single" w:color="auto" w:sz="4" w:space="0"/>
              <w:right w:val="single" w:color="auto" w:sz="4" w:space="0"/>
            </w:tcBorders>
            <w:vAlign w:val="center"/>
          </w:tcPr>
          <w:p>
            <w:pPr>
              <w:adjustRightInd w:val="0"/>
              <w:snapToGrid w:val="0"/>
              <w:spacing w:line="260" w:lineRule="exact"/>
              <w:jc w:val="center"/>
              <w:rPr>
                <w:rFonts w:ascii="方正书宋_GBK" w:hAnsi="宋体" w:eastAsia="方正书宋_GBK" w:cs="宋体"/>
                <w:color w:val="000000"/>
                <w:kern w:val="0"/>
                <w:sz w:val="20"/>
                <w:szCs w:val="20"/>
              </w:rPr>
            </w:pPr>
            <w:r>
              <w:rPr>
                <w:rFonts w:hint="eastAsia" w:ascii="方正书宋_GBK" w:hAnsi="宋体" w:eastAsia="方正书宋_GBK" w:cs="宋体"/>
                <w:color w:val="000000"/>
                <w:kern w:val="0"/>
                <w:sz w:val="20"/>
                <w:szCs w:val="20"/>
              </w:rPr>
              <w:t>1</w:t>
            </w:r>
          </w:p>
        </w:tc>
        <w:tc>
          <w:tcPr>
            <w:tcW w:w="561" w:type="dxa"/>
            <w:tcBorders>
              <w:top w:val="nil"/>
              <w:left w:val="nil"/>
              <w:bottom w:val="single" w:color="auto" w:sz="4" w:space="0"/>
              <w:right w:val="single" w:color="auto" w:sz="4" w:space="0"/>
            </w:tcBorders>
            <w:vAlign w:val="center"/>
          </w:tcPr>
          <w:p>
            <w:pPr>
              <w:widowControl/>
              <w:adjustRightInd w:val="0"/>
              <w:snapToGrid w:val="0"/>
              <w:spacing w:line="300" w:lineRule="exact"/>
              <w:jc w:val="center"/>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行政处罚</w:t>
            </w:r>
          </w:p>
        </w:tc>
        <w:tc>
          <w:tcPr>
            <w:tcW w:w="567" w:type="dxa"/>
            <w:tcBorders>
              <w:top w:val="nil"/>
              <w:left w:val="nil"/>
              <w:bottom w:val="single" w:color="auto" w:sz="4" w:space="0"/>
              <w:right w:val="single" w:color="auto" w:sz="4" w:space="0"/>
            </w:tcBorders>
            <w:vAlign w:val="center"/>
          </w:tcPr>
          <w:p>
            <w:pPr>
              <w:widowControl/>
              <w:adjustRightInd w:val="0"/>
              <w:snapToGrid w:val="0"/>
              <w:spacing w:line="300" w:lineRule="exact"/>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对没有取得律师执业证书的人员以律师名义从事法律服务业务的处罚</w:t>
            </w:r>
          </w:p>
        </w:tc>
        <w:tc>
          <w:tcPr>
            <w:tcW w:w="567" w:type="dxa"/>
            <w:tcBorders>
              <w:top w:val="nil"/>
              <w:left w:val="nil"/>
              <w:bottom w:val="single" w:color="auto" w:sz="4" w:space="0"/>
              <w:right w:val="single" w:color="auto" w:sz="4" w:space="0"/>
            </w:tcBorders>
            <w:vAlign w:val="center"/>
          </w:tcPr>
          <w:p>
            <w:pPr>
              <w:widowControl/>
              <w:adjustRightInd w:val="0"/>
              <w:snapToGrid w:val="0"/>
              <w:spacing w:line="300" w:lineRule="exact"/>
              <w:rPr>
                <w:rFonts w:ascii="方正书宋_GBK" w:hAnsi="宋体" w:eastAsia="方正书宋_GBK" w:cs="宋体"/>
                <w:color w:val="000000"/>
                <w:kern w:val="0"/>
                <w:sz w:val="20"/>
                <w:szCs w:val="20"/>
              </w:rPr>
            </w:pPr>
          </w:p>
        </w:tc>
        <w:tc>
          <w:tcPr>
            <w:tcW w:w="552" w:type="dxa"/>
            <w:tcBorders>
              <w:top w:val="nil"/>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snapToGrid w:val="0"/>
                <w:color w:val="00000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nil"/>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snapToGrid w:val="0"/>
                <w:color w:val="000000"/>
                <w:sz w:val="20"/>
                <w:szCs w:val="20"/>
              </w:rPr>
            </w:pPr>
          </w:p>
        </w:tc>
        <w:tc>
          <w:tcPr>
            <w:tcW w:w="21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【法律】《中华人民共和国律师法》（2017年中华人民共和国主席令第76号修正）第五十五条 没有取得律师执业证书的人员以律师名义从事法律服务业务的，由所在地的县级以上地方人民政府司法行政部门责令停止非法执业，没收违法所得，处违法所得一倍以上五倍以下的罚款。</w:t>
            </w:r>
          </w:p>
        </w:tc>
        <w:tc>
          <w:tcPr>
            <w:tcW w:w="1386" w:type="dxa"/>
            <w:tcBorders>
              <w:top w:val="nil"/>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1.立案责任：对涉嫌违法行为的信息来源进行审查、记录，属本部门受理的进行审核，决定是否立案调查。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调查责任：对立案的案件，指定专人负责，及时组织调查取证，与当事人有直接利害关系的回避。执法人员不得少于两人，调查时应出示执法证件，允许当事人辩解陈述，执法人员应保守有关秘密，客观公正的进行取证，并做好记录。</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审查责任：审理案件调查报告，对案件违法事实、证据、调查取证程序、法律适用、处罚种类和幅度、当事人陈述和申辩理由等方面进行审查，提出处理意见（主要证据不足时，以适当的方式补充调查），提出处理意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4.告知责任：行政处罚决定前，应制作《行政处罚告知书》送达当事人，告知其违法事实和享有的陈述申辩、听证等权利。符合听证规定的，制作并送达《行政处罚听证告知书》。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5.决定责任：制作行政处罚决定书，载明行政处罚告知、当事人陈述申辩或者听证情况等内容。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6.送达责任：行政处罚决定书按法律规定的方式送达当事人。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7.执行责任：依照生效的行政处罚责任，监督当事人履行，当事人不履行的申请法院强制执行，构成犯罪的移交司法机关。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8.监督责任：对其处罚情况的监督检查。</w:t>
            </w: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9.其他法律法规规章文件规定应履行的责任。</w:t>
            </w:r>
          </w:p>
        </w:tc>
        <w:tc>
          <w:tcPr>
            <w:tcW w:w="1567"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1.【法律】《中华人民共和国行政处罚法》（2021年中华人民共和国主席令第70号令修订）第四十条 公民、法人或者其他组织违反行政管理秩序的行为，依法应当给予行政处罚的，行政机关必须查明事实；违法事实不清、证据不足的，不得给予行政处罚。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2-1.【法律】《中华人民共和国行政处罚法》（2021年中华人民共和国主席令第70号令修订）第五十四条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符合立案标准的，行政机关应当及时立案。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2-2.【法律】《中华人民共和国行政处罚法》（2021年中华人民共和国主席令第70号令修订）第五十五条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当事人或者有关人员应当如实回答询问，并协助调查或者检查，不得拒绝或者阻挠。询问或者检查应当制作笔录。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3.【法律】《中华人民共和国行政处罚法》（2021年中华人民共和国主席令第70号令修订）第五十七条 调查终结，行政机关负责人应当对调查结果进行审查，根据不同情况，分别作出如下决定：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（一）确有应受行政处罚的违法行为的，根据情节轻重及具体情况，作出行政处罚决定；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（二）违法行为轻微，依法可以不予行政处罚的，不予行政处罚；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（三）违法事实不能成立的，不予行政处罚；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（四）违法行为涉嫌犯罪的，移送司法机关。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对情节复杂或者重大违法行为给予行政处罚，行政机关负责人应当集体讨论决定。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4.【法律】《中华人民共和国行政处罚法》（2021年中华人民共和国主席令第70号令修订）第七条 公民、法人或者其他组织对行政机关所给予的行政处罚，享有陈述权、申辩权；对行政处罚不服的，有权依法申请行政复议或者提起行政诉讼。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公民、法人或者其他组织因行政机关违法给予行政处罚受到损害的，有权依法提出赔偿要求。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5.【法律】《中华人民共和国行政处罚法》（2021年中华人民共和国主席令第70号令修订）第五十九条 行政机关依照本法第五十七条的规定给予行政处罚，应当制作行政处罚决定书。行政处罚决定书应当载明下列事项：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（一）当事人的姓名或者名称、地址；</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（二）违反法律、法规、规章的事实和证据；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（三）行政处罚的种类和依据；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（四）行政处罚的履行方式和期限；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（五）申请行政复议、提起行政诉讼的途径和期限；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（六）作出行政处罚决定的行政机关名称和作出决定的日期。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行政处罚决定书必须盖有作出行政处罚决定的行政机关的印章。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6.【法律】《中华人民共和国行政处罚法》（2021年中华人民共和国主席令第70号令修订）第六十一条 行政处罚决定书应当在宣告后当场交付当事人；当事人不在场的，行政机关应当在七日内依照《中华人民共和国民事诉讼法》的有关规定，将行政处罚决定书送达当事人。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当事人同意并签订确认书的，行政机关可以采用传真、电子邮件等方式，将行政处罚决定书等送达当事人。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7.【法律】《中华人民共和国行政处罚法》（2021年中华人民共和国主席令第70号令修订）：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第六十六条 行政处罚决定依法作出后，当事人应当在行政处罚决定书载明的期限内，予以履行。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当事人确有经济困难，需要延期或者分期缴纳罚款的，经当事人申请和行政机关批准，可以暂缓或者分期缴纳。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第七十二条 当事人逾期不履行行政处罚决定的，作出行政处罚决定的行政机关可以采取下列措施：</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（一）到期不缴纳罚款的，每日按罚款数额的百分之三加处罚款，加处罚款的数额不得超出罚款的数额；</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（二）根据法律规定，将查封、扣押的财物拍卖、依法处理或者将冻结的存款、汇款划拨抵缴罚款；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（三）根据法律规定，采取其他行政强制执行方式；</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（四）依照《中华人民共和国行政强制法》的规定申请人民法院强制执行。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行政机关批准延期、分期缴纳罚款的，申请人民法院强制执行的期限，自暂缓或者分期缴纳罚款期限结束之日起计算。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p>
        </w:tc>
        <w:tc>
          <w:tcPr>
            <w:tcW w:w="1533"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主管机关及相关工作人员应承担相应责任：1.对应当予以制止和处罚的违法行为不予制止、处罚，致使公民、法人或者其他组织的合法权益、公共利益和社会秩序遭受损害的；2.符合听证条件、行政管理相对人要求听证，应予组织听证而不组织听证的；3.没有法律或者事实依据实施行政处罚的；4.未按法定程序实施行政处罚的；5.违反规定应当回避而不回避，影响公正执行公务，造成不良后果的； 6.泄露因履行职责掌握的商业秘密、个人隐私，造成不良后果的；7.擅自设立处罚种类或者改变处罚幅度、范围的；8.违反 罚缴分离   规定，擅自收取罚款的；9.对当事人进行罚款、没收财物等行政处罚不使用法定单据的；10.依法应当移送其他行政部门或司法机关处理而不移送的；</w:t>
            </w:r>
          </w:p>
          <w:p>
            <w:pPr>
              <w:widowControl/>
              <w:adjustRightInd w:val="0"/>
              <w:snapToGrid w:val="0"/>
              <w:spacing w:line="300" w:lineRule="exact"/>
              <w:rPr>
                <w:rFonts w:hint="eastAsia" w:ascii="方正书宋_GBK" w:hAnsi="宋体" w:eastAsia="仿宋_GB2312" w:cs="宋体"/>
                <w:color w:val="000000"/>
                <w:kern w:val="0"/>
                <w:sz w:val="20"/>
                <w:szCs w:val="20"/>
                <w:lang w:eastAsia="zh-CN"/>
              </w:rPr>
            </w:pPr>
            <w:r>
              <w:rPr>
                <w:rFonts w:hint="eastAsia" w:eastAsia="仿宋_GB2312" w:cs="仿宋_GB2312"/>
                <w:snapToGrid w:val="0"/>
                <w:color w:val="000000"/>
                <w:sz w:val="20"/>
                <w:szCs w:val="20"/>
              </w:rPr>
              <w:t>11.在监督管理工作中滥用职权、玩忽职守、徇私舞弊的；12.在行政处罚过程中发生腐败行为的；13.其他违反法律法规规章文件规定的行为</w:t>
            </w:r>
            <w:r>
              <w:rPr>
                <w:rFonts w:hint="eastAsia" w:eastAsia="仿宋_GB2312" w:cs="仿宋_GB2312"/>
                <w:snapToGrid w:val="0"/>
                <w:color w:val="000000"/>
                <w:sz w:val="20"/>
                <w:szCs w:val="20"/>
                <w:lang w:eastAsia="zh-CN"/>
              </w:rPr>
              <w:t>。</w:t>
            </w:r>
          </w:p>
        </w:tc>
        <w:tc>
          <w:tcPr>
            <w:tcW w:w="155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1-1.【法律】《中华人民共和国行政处罚法》（2021年中华人民共和国主席令第70号令修订）第七十六条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5-1.【地方政府规章】《广西壮族自治区行政过错责任追究办法》（2004年广西壮族自治区人民政府令第24号)  第八条 实施行政行为，有下列情形之一的，应当追究行政过错责任人的责任: （一）依法应当回避不回避；</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5-2.【法规】《行政机关公务员处分条例》（国务院令第495号）第十九条第五项 有下列行为之一的，给予警告、记过或者记大过处分；情节较重的，给予降级或者撤职处分；情节严重的，给予开除处分：（五）违反规定应当回避而不回避，影响公正执行公务，造成不良后果的。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规】《行政机关公务员处分条例》（国务院令第495号）第二十六条规定：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7-1.【地方政府规章】《广西壮族自治区行政过错责任追究办法》（2004年广西壮族自治区人民政府令第24号)  第十二条  行政机关在实施行政处罚过程中，有下列情形之一的，应当追究行政过错责任：（一）不具备行政处罚主体资格；（二）没有事实和法律依据；（三）擅自改变处罚种类、幅度；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反法定程序；（五）违法处理罚没财物；（六）涉嫌犯罪，不移交司法机关；（七）对违法行为应当处罚不处罚或者乱处罚；（八）其他违法实施行政处罚的情形。行政机关工作人员违反前款规定，应当承担行政过错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8.【法律】《中华人民共和国行政处罚法》（2021年中华人民共和国主席令第70号令修订）第七十八条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9.【法律】《中华人民共和国行政处罚法》（2021年中华人民共和国主席令第70号令修订）第七十七条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10.【法律】《中华人民共和国行政处罚法》（2021年中华人民共和国主席令第70号令修订）第八十二条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11.同1-2。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执法人员利用职务上的便利，索取或者收受他人财物、将收缴罚款据为己有，构成犯罪的，依法追究刑事责任；情节轻微不构成犯罪的，依法给予处分。</w:t>
            </w:r>
          </w:p>
        </w:tc>
        <w:tc>
          <w:tcPr>
            <w:tcW w:w="147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392" w:firstLineChars="200"/>
              <w:rPr>
                <w:rFonts w:ascii="方正书宋_GBK" w:hAnsi="宋体" w:eastAsia="方正书宋_GBK" w:cs="宋体"/>
                <w:color w:val="000000"/>
                <w:kern w:val="0"/>
                <w:sz w:val="20"/>
                <w:szCs w:val="20"/>
              </w:rPr>
            </w:pPr>
            <w:r>
              <w:rPr>
                <w:rFonts w:hint="eastAsia" w:eastAsia="仿宋_GB2312" w:cs="仿宋_GB2312"/>
                <w:snapToGrid w:val="0"/>
                <w:color w:val="000000"/>
                <w:spacing w:val="-2"/>
                <w:sz w:val="20"/>
                <w:szCs w:val="20"/>
              </w:rPr>
              <w:t>有关法律法规规章文件规定的免责。</w:t>
            </w:r>
          </w:p>
        </w:tc>
        <w:tc>
          <w:tcPr>
            <w:tcW w:w="600"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nil"/>
              <w:bottom w:val="single" w:color="auto" w:sz="4" w:space="0"/>
              <w:right w:val="single" w:color="auto" w:sz="4" w:space="0"/>
            </w:tcBorders>
            <w:vAlign w:val="center"/>
          </w:tcPr>
          <w:p>
            <w:pPr>
              <w:adjustRightInd w:val="0"/>
              <w:snapToGrid w:val="0"/>
              <w:spacing w:line="260" w:lineRule="exact"/>
              <w:jc w:val="center"/>
              <w:rPr>
                <w:rFonts w:ascii="方正书宋_GBK" w:hAnsi="宋体" w:eastAsia="方正书宋_GBK" w:cs="宋体"/>
                <w:color w:val="000000"/>
                <w:kern w:val="0"/>
                <w:sz w:val="20"/>
                <w:szCs w:val="20"/>
              </w:rPr>
            </w:pPr>
            <w:r>
              <w:rPr>
                <w:rFonts w:hint="eastAsia" w:ascii="方正书宋_GBK" w:hAnsi="宋体" w:eastAsia="方正书宋_GBK" w:cs="宋体"/>
                <w:color w:val="000000"/>
                <w:kern w:val="0"/>
                <w:sz w:val="20"/>
                <w:szCs w:val="20"/>
              </w:rPr>
              <w:t>2</w:t>
            </w:r>
          </w:p>
        </w:tc>
        <w:tc>
          <w:tcPr>
            <w:tcW w:w="56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行政处罚</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对律师事务所拒绝法律援助机构的指派，不安排本所律师办理法律援助案件的处罚</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p>
        </w:tc>
        <w:tc>
          <w:tcPr>
            <w:tcW w:w="55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ascii="方正书宋_GBK" w:hAnsi="宋体" w:eastAsia="方正书宋_GBK" w:cs="宋体"/>
                <w:color w:val="000000"/>
                <w:kern w:val="0"/>
                <w:sz w:val="20"/>
                <w:szCs w:val="20"/>
              </w:rPr>
            </w:pPr>
          </w:p>
        </w:tc>
        <w:tc>
          <w:tcPr>
            <w:tcW w:w="213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1.【法律】《中华人民共和国法律援助法》（2021年中华人民共和国主席令第93号）第六十二条　律师事务所、基层法律服务所有下列情形之一的，由司法行政部门依法给予处罚：（一）无正当理由拒绝接受法律援助机构指派；（二）接受指派后，不及时安排本所律师、基层法律服务工作者办理法律援助事项或者拒绝为本所律师、基层法律服务工作者办理法律援助事项提供支持和保障；（三）纵容或者放任本所律师、基层法律服务工作者怠于履行法律援助义务或者擅自终止提供法律援助；（四）法律法规规定的其他情形。</w:t>
            </w: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2.【行政法规】《法律援助条例》（2003年国务院令第385号）第二十七条 律师事务所拒绝法律援助机构的指派，不安排本所律师办理法律援助案件的，由司法行政部门给予警告、责令改正；情节严重的，给予1个月以上3个月以下停业整顿的处罚。</w:t>
            </w:r>
          </w:p>
        </w:tc>
        <w:tc>
          <w:tcPr>
            <w:tcW w:w="138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1.立案责任：对涉嫌违法行为的信息来源进行审查、记录，属本部门受理的进行审核，决定是否立案调查。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调查责任：对立案的案件，指定专人负责，及时组织调查取证，与当事人有直接利害关系的回避。执法人员不得少于两人，调查时应出示执法证件，允许当事人辩解陈述，执法人员应保守有关秘密，客观公正的进行取证，并做好记录。</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审查责任：审理案件调查报告，对案件违法事实、证据、调查取证程序、法律适用、处罚种类和幅度、当事人陈述和申辩理由等方面进行审查，提出处理意见（主要证据不足时，以适当的方式补充调查），提出处理意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4.告知责任：行政处罚决定前，应制作《行政处罚告知书》送达当事人，告知其违法事实和享有的陈述申辩、听证等权利。符合听证规定的，制作并送达《行政处罚听证告知书》。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5.决定责任：制作行政处罚决定书，载明行政处罚告知、当事人陈述申辩或者听证情况等内容。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6.送达责任：行政处罚决定书按法律规定的方式送达当事人。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7.执行责任：依照生效的行政处罚责任，监督当事人履行，当事人不履行的申请法院强制执行，构成犯罪的移交司法机关。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8.监督责任：对其处罚情况的监督检查。</w:t>
            </w: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9.其他法律法规规章文件规定应履行的责任。</w:t>
            </w:r>
          </w:p>
        </w:tc>
        <w:tc>
          <w:tcPr>
            <w:tcW w:w="1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1.【法律】《中华人民共和国行政处罚法》（2021年中华人民共和国主席令第70号令修订）第四十条 公民、法人或者其他组织违反行政管理秩序的行为，依法应当给予行政处罚的，行政机关必须查明事实；违法事实不清、证据不足的，不得给予行政处罚。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2-1.【法律】《中华人民共和国行政处罚法》（2021年中华人民共和国主席令第70号令修订）第五十四条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符合立案标准的，行政机关应当及时立案。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2-2.【法律】《中华人民共和国行政处罚法》（2021年中华人民共和国主席令第70号令修订）第五十五条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当事人或者有关人员应当如实回答询问，并协助调查或者检查，不得拒绝或者阻挠。询问或者检查应当制作笔录。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3.【法律】《中华人民共和国行政处罚法》（2021年中华人民共和国主席令第70号令修订）第五十七条 调查终结，行政机关负责人应当对调查结果进行审查，根据不同情况，分别作出如下决定：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（一）确有应受行政处罚的违法行为的，根据情节轻重及具体情况，作出行政处罚决定；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（二）违法行为轻微，依法可以不予行政处罚的，不予行政处罚；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（三）违法事实不能成立的，不予行政处罚；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（四）违法行为涉嫌犯罪的，移送司法机关。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对情节复杂或者重大违法行为给予行政处罚，行政机关负责人应当集体讨论决定。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4.【法律】《中华人民共和国行政处罚法》（2021年中华人民共和国主席令第70号令修订）第七条 公民、法人或者其他组织对行政机关所给予的行政处罚，享有陈述权、申辩权；对行政处罚不服的，有权依法申请行政复议或者提起行政诉讼。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公民、法人或者其他组织因行政机关违法给予行政处罚受到损害的，有权依法提出赔偿要求。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5.【法律】《中华人民共和国行政处罚法》（2021年中华人民共和国主席令第70号令修订）第五十九条 行政机关依照本法第五十七条的规定给予行政处罚，应当制作行政处罚决定书。行政处罚决定书应当载明下列事项：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（一）当事人的姓名或者名称、地址；</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（二）违反法律、法规、规章的事实和证据；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（三）行政处罚的种类和依据；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（四）行政处罚的履行方式和期限；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（五）申请行政复议、提起行政诉讼的途径和期限；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（六）作出行政处罚决定的行政机关名称和作出决定的日期。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行政处罚决定书必须盖有作出行政处罚决定的行政机关的印章。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6.【法律】《中华人民共和国行政处罚法》（2021年中华人民共和国主席令第70号令修订）第六十一条 行政处罚决定书应当在宣告后当场交付当事人；当事人不在场的，行政机关应当在七日内依照《中华人民共和国民事诉讼法》的有关规定，将行政处罚决定书送达当事人。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当事人同意并签订确认书的，行政机关可以采用传真、电子邮件等方式，将行政处罚决定书等送达当事人。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7.【法律】《中华人民共和国行政处罚法》（2021年中华人民共和国主席令第70号令修订）：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第六十六条 行政处罚决定依法作出后，当事人应当在行政处罚决定书载明的期限内，予以履行。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当事人确有经济困难，需要延期或者分期缴纳罚款的，经当事人申请和行政机关批准，可以暂缓或者分期缴纳。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第七十二条 当事人逾期不履行行政处罚决定的，作出行政处罚决定的行政机关可以采取下列措施：</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（一）到期不缴纳罚款的，每日按罚款数额的百分之三加处罚款，加处罚款的数额不得超出罚款的数额；</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（二）根据法律规定，将查封、扣押的财物拍卖、依法处理或者将冻结的存款、汇款划拨抵缴罚款；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（三）根据法律规定，采取其他行政强制执行方式；</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（四）依照《中华人民共和国行政强制法》的规定申请人民法院强制执行。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行政机关批准延期、分期缴纳罚款的，申请人民法院强制执行的期限，自暂缓或者分期缴纳罚款期限结束之日起计算。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p>
        </w:tc>
        <w:tc>
          <w:tcPr>
            <w:tcW w:w="15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主管机关及相关工作人员应承担相应责任：1.对应当予以制止和处罚的违法行为不予制止、处罚，致使公民、法人或者其他组织的合法权益、公共利益和社会秩序遭受损害的；2.符合听证条件、行政管理相对人要求听证，应予组织听证而不组织听证的；3.没有法律或者事实依据实施行政处罚的；4.未按法定程序实施行政处罚的；5.违反规定应当回避而不回避，影响公正执行公务，造成不良后果的； 6.泄露因履行职责掌握的商业秘密、个人隐私，造成不良后果的；7.擅自设立处罚种类或者改变处罚幅度、范围的；8.违反 罚缴分离   规定，擅自收取罚款的；9.对当事人进行罚款、没收财物等行政处罚不使用法定单据的；10.依法应当移送其他行政部门或司法机关处理而不移送的；</w:t>
            </w:r>
          </w:p>
          <w:p>
            <w:pPr>
              <w:widowControl/>
              <w:adjustRightInd w:val="0"/>
              <w:snapToGrid w:val="0"/>
              <w:spacing w:line="300" w:lineRule="exact"/>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11.在监督管理工作中滥用职权、玩忽职守、徇私舞弊的；12.在行政处罚过程中发生腐败行为的；13.其他违反法律法规规章文件规定的行为</w:t>
            </w:r>
          </w:p>
        </w:tc>
        <w:tc>
          <w:tcPr>
            <w:tcW w:w="1550" w:type="dxa"/>
            <w:tcBorders>
              <w:top w:val="single" w:color="auto" w:sz="4" w:space="0"/>
              <w:left w:val="nil"/>
              <w:bottom w:val="single" w:color="auto" w:sz="4" w:space="0"/>
              <w:right w:val="nil"/>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1-1.【法律】《中华人民共和国行政处罚法》（2021年中华人民共和国主席令第70号令修订）第七十六条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5-1.【地方政府规章】《广西壮族自治区行政过错责任追究办法》（2004年广西壮族自治区人民政府令第24号)  第八条 实施行政行为，有下列情形之一的，应当追究行政过错责任人的责任: （一）依法应当回避不回避；</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5-2.【法规】《行政机关公务员处分条例》（国务院令第495号）第十九条第五项 有下列行为之一的，给予警告、记过或者记大过处分；情节较重的，给予降级或者撤职处分；情节严重的，给予开除处分：（五）违反规定应当回避而不回避，影响公正执行公务，造成不良后果的。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规】《行政机关公务员处分条例》（国务院令第495号）第二十六条规定：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7-1.【地方政府规章】《广西壮族自治区行政过错责任追究办法》（2004年广西壮族自治区人民政府令第24号)  第十二条  行政机关在实施行政处罚过程中，有下列情形之一的，应当追究行政过错责任：（一）不具备行政处罚主体资格；（二）没有事实和法律依据；（三）擅自改变处罚种类、幅度；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反法定程序；（五）违法处理罚没财物；（六）涉嫌犯罪，不移交司法机关；（七）对违法行为应当处罚不处罚或者乱处罚；（八）其他违法实施行政处罚的情形。行政机关工作人员违反前款规定，应当承担行政过错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8.【法律】《中华人民共和国行政处罚法》（2021年中华人民共和国主席令第70号令修订）第七十八条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9.【法律】《中华人民共和国行政处罚法》（2021年中华人民共和国主席令第70号令修订）第七十七条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10.【法律】《中华人民共和国行政处罚法》（2021年中华人民共和国主席令第70号令修订）第八十二条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11.同1-2。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cs="仿宋_GB2312"/>
                <w:snapToGrid w:val="0"/>
                <w:color w:val="000000"/>
                <w:sz w:val="20"/>
                <w:szCs w:val="20"/>
              </w:rPr>
              <w:t>执法人员利用职务上的便利，索取或者收受他人财物、将收缴罚款据为己有，构成犯罪的，依法追究刑事责任；情节轻微不构成犯罪的，依法给予处分。</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ascii="方正书宋_GBK" w:hAnsi="宋体" w:eastAsia="方正书宋_GBK" w:cs="宋体"/>
                <w:color w:val="000000"/>
                <w:kern w:val="0"/>
                <w:sz w:val="20"/>
                <w:szCs w:val="20"/>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single" w:color="auto" w:sz="4" w:space="0"/>
              <w:bottom w:val="nil"/>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3</w:t>
            </w:r>
          </w:p>
        </w:tc>
        <w:tc>
          <w:tcPr>
            <w:tcW w:w="561" w:type="dxa"/>
            <w:tcBorders>
              <w:top w:val="single" w:color="auto" w:sz="4" w:space="0"/>
              <w:left w:val="single" w:color="auto" w:sz="4" w:space="0"/>
              <w:bottom w:val="nil"/>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行政处罚</w:t>
            </w:r>
          </w:p>
        </w:tc>
        <w:tc>
          <w:tcPr>
            <w:tcW w:w="567" w:type="dxa"/>
            <w:tcBorders>
              <w:top w:val="single" w:color="auto" w:sz="4" w:space="0"/>
              <w:left w:val="nil"/>
              <w:bottom w:val="nil"/>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对法律援助人员无正当理由拒绝、拖延或者终止实施法律援助、收取受援人财物、泄露当事人的商业秘密或者个人隐私行为的处罚</w:t>
            </w:r>
          </w:p>
        </w:tc>
        <w:tc>
          <w:tcPr>
            <w:tcW w:w="567" w:type="dxa"/>
            <w:tcBorders>
              <w:top w:val="single" w:color="auto" w:sz="4" w:space="0"/>
              <w:left w:val="nil"/>
              <w:bottom w:val="nil"/>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p>
        </w:tc>
        <w:tc>
          <w:tcPr>
            <w:tcW w:w="552" w:type="dxa"/>
            <w:tcBorders>
              <w:top w:val="single" w:color="auto" w:sz="4" w:space="0"/>
              <w:left w:val="nil"/>
              <w:bottom w:val="nil"/>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nil"/>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tcBorders>
              <w:top w:val="single" w:color="auto" w:sz="4" w:space="0"/>
              <w:left w:val="nil"/>
              <w:bottom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1.【法律】《中华人民共和国法律援助法》（2021年中华人民共和国主席令第93号）第四十六条　法律援助人员接受指派后，无正当理由不得拒绝、拖延或者终止提供法律援助服务。</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法律援助人员应当按照规定向受援人通报法律援助事项办理情况，不得损害受援人合法权益。</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第六十三条　律师、基层法律服务工作者有下列情形之一的，由司法行政部门依法给予处罚：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（一）无正当理由拒绝履行法律援助义务或者怠于履行法律援助义务；</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（二）擅自终止提供法律援助；</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（三）收取受援人财物；</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（四）泄露法律援助过程中知悉的国家秘密、商业秘密和个人隐私；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（五）法律法规规定的其他情形。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2.【行政法规】《法律援助条例》（2003年国务院令第385号）第二十七条 律师事务所拒绝法律援助机构的指派，不安排本所律师办理法律援助案件的，由司法行政部门给予警告、责令改正；情节严重的，给予1个月以上3个月以下停业整顿的处罚。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第二十八条 律师有下列情形之一的，由司法行政部门给予警告、责令改正；情节严重的，给予1个月以上3个月以下停止执业的处罚：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（一）无正当理由拒绝接受、擅自终止法律援助案件的；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（二）办理法律援助案件收取财物的。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有前款第（二）项违法行为的，由司法行政部门责令退还违法所得的财物，可以并处所收财物价值1倍以上3倍以下的罚款。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3.【地方性法规】《广西壮族自治区法律援助条例》（2002年自治区人民代表大会常务委员会公告九届第65号发布，2010年自治区人民代表大会常务委员会公告十一届25号修订）第二十九条 律师事务所、基层法律服务机构违反本条例第二十条的规定无正当理由拒绝法律援助机构的指派，不安排律师或者基层法律服务工作者提供法律援助的，由司法行政部门责令限期改正；逾期不改正的，给予停业整顿一个月以上三个月以下的处罚。</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第三十条 法律援助人员违反本条例第二十一条第二款规定的，按照下列规定予以处罚：（一）法律援助人员无正当理由拒绝、拖延或者终止实施法律援助的，由司法行政部门责令改正，情节严重的，给予停止执业一个月以上三个月以下的处罚。（二）法律援助人员收取受援人财物的，由司法行政部门责令退还违法所得的财物，可以并处所收财物价值一倍以上三倍以下的罚款，情节严重的，给予停止执业一个月以上三个月以下的处罚。（三）法律援助人员泄露当事人的商业秘密或者个人隐私的，由司法行政部门给予警告，可以处一万元以下的罚款，有违法所得的，没收违法所得，情节严重的，给予停止执业三个月以上六个月以下的处罚。</w:t>
            </w:r>
          </w:p>
        </w:tc>
        <w:tc>
          <w:tcPr>
            <w:tcW w:w="1386" w:type="dxa"/>
            <w:tcBorders>
              <w:top w:val="single" w:color="auto" w:sz="4" w:space="0"/>
              <w:left w:val="single" w:color="auto" w:sz="4" w:space="0"/>
              <w:bottom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1.立案责任：对涉嫌违法行为的信息来源进行审查、记录，属本部门受理的进行审核，决定是否立案调查。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调查责任：对立案的案件，指定专人负责，及时组织调查取证，与当事人有直接利害关系的回避。执法人员不得少于两人，调查时应出示执法证件，允许当事人辩解陈述，执法人员应保守有关秘密，客观公正的进行取证，并做好记录。</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审查责任：审理案件调查报告，对案件违法事实、证据、调查取证程序、法律适用、处罚种类和幅度、当事人陈述和申辩理由等方面进行审查，提出处理意见（主要证据不足时，以适当的方式补充调查），提出处理意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4.告知责任：行政处罚决定前，应制作《行政处罚告知书》送达当事人，告知其违法事实和享有的陈述申辩、听证等权利。符合听证规定的，制作并送达《行政处罚听证告知书》。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5.决定责任：制作行政处罚决定书，载明行政处罚告知、当事人陈述申辩或者听证情况等内容。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6.送达责任：行政处罚决定书按法律规定的方式送达当事人。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7.执行责任：依照生效的行政处罚责任，监督当事人履行，当事人不履行的申请法院强制执行，构成犯罪的移交司法机关。</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8.其他法律法规规章文件规定应履行的责任。</w:t>
            </w:r>
          </w:p>
        </w:tc>
        <w:tc>
          <w:tcPr>
            <w:tcW w:w="1567" w:type="dxa"/>
            <w:tcBorders>
              <w:top w:val="single" w:color="auto" w:sz="4" w:space="0"/>
              <w:left w:val="nil"/>
              <w:bottom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1.【法律】《中华人民共和国行政处罚法》（2021年中华人民共和国主席令第70号令修订）第四十条 公民、法人或者其他组织违反行政管理秩序的行为，依法应当给予行政处罚的，行政机关必须查明事实；违法事实不清、证据不足的，不得给予行政处罚。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2-1.【法律】《中华人民共和国行政处罚法》（2021年中华人民共和国主席令第70号令修订）第五十四条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符合立案标准的，行政机关应当及时立案。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2-2.【法律】《中华人民共和国行政处罚法》（2021年中华人民共和国主席令第70号令修订）第五十五条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当事人或者有关人员应当如实回答询问，并协助调查或者检查，不得拒绝或者阻挠。询问或者检查应当制作笔录。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3.【法律】《中华人民共和国行政处罚法》（2021年中华人民共和国主席令第70号令修订）第五十七条 调查终结，行政机关负责人应当对调查结果进行审查，根据不同情况，分别作出如下决定：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（一）确有应受行政处罚的违法行为的，根据情节轻重及具体情况，作出行政处罚决定；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（二）违法行为轻微，依法可以不予行政处罚的，不予行政处罚；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（三）违法事实不能成立的，不予行政处罚；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（四）违法行为涉嫌犯罪的，移送司法机关。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对情节复杂或者重大违法行为给予行政处罚，行政机关负责人应当集体讨论决定。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4.【法律】《中华人民共和国行政处罚法》（2021年中华人民共和国主席令第70号令修订）第七条 公民、法人或者其他组织对行政机关所给予的行政处罚，享有陈述权、申辩权；对行政处罚不服的，有权依法申请行政复议或者提起行政诉讼。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公民、法人或者其他组织因行政机关违法给予行政处罚受到损害的，有权依法提出赔偿要求。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5.【法律】《中华人民共和国行政处罚法》（2021年中华人民共和国主席令第70号令修订）第五十九条 行政机关依照本法第五十七条的规定给予行政处罚，应当制作行政处罚决定书。行政处罚决定书应当载明下列事项：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（一）当事人的姓名或者名称、地址；</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（二）违反法律、法规、规章的事实和证据；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（三）行政处罚的种类和依据；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（四）行政处罚的履行方式和期限；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（五）申请行政复议、提起行政诉讼的途径和期限；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（六）作出行政处罚决定的行政机关名称和作出决定的日期。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行政处罚决定书必须盖有作出行政处罚决定的行政机关的印章。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6.【法律】《中华人民共和国行政处罚法》（2021年中华人民共和国主席令第70号令修订）第六十一条 行政处罚决定书应当在宣告后当场交付当事人；当事人不在场的，行政机关应当在七日内依照《中华人民共和国民事诉讼法》的有关规定，将行政处罚决定书送达当事人。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当事人同意并签订确认书的，行政机关可以采用传真、电子邮件等方式，将行政处罚决定书等送达当事人。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7.【法律】《中华人民共和国行政处罚法》（2021年中华人民共和国主席令第70号令修订）：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第六十六条 行政处罚决定依法作出后，当事人应当在行政处罚决定书载明的期限内，予以履行。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当事人确有经济困难，需要延期或者分期缴纳罚款的，经当事人申请和行政机关批准，可以暂缓或者分期缴纳。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第七十二条 当事人逾期不履行行政处罚决定的，作出行政处罚决定的行政机关可以采取下列措施：</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（一）到期不缴纳罚款的，每日按罚款数额的百分之三加处罚款，加处罚款的数额不得超出罚款的数额；</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（二）根据法律规定，将查封、扣押的财物拍卖、依法处理或者将冻结的存款、汇款划拨抵缴罚款；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（三）根据法律规定，采取其他行政强制执行方式；</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（四）依照《中华人民共和国行政强制法》的规定申请人民法院强制执行。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行政机关批准延期、分期缴纳罚款的，申请人民法院强制执行的期限，自暂缓或者分期缴纳罚款期限结束之日起计算。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c>
          <w:tcPr>
            <w:tcW w:w="1533" w:type="dxa"/>
            <w:tcBorders>
              <w:top w:val="single" w:color="auto" w:sz="4" w:space="0"/>
              <w:left w:val="nil"/>
              <w:bottom w:val="nil"/>
              <w:right w:val="single" w:color="auto" w:sz="4" w:space="0"/>
            </w:tcBorders>
            <w:vAlign w:val="center"/>
          </w:tcPr>
          <w:p>
            <w:pPr>
              <w:widowControl/>
              <w:adjustRightInd w:val="0"/>
              <w:snapToGrid w:val="0"/>
              <w:spacing w:line="300" w:lineRule="exact"/>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主管机关及相关工作人员应承担相应责任：1.对应当予以制止和处罚的违法行为不予制止、处罚，致使公民、法人或者其他组织的合法权益、公共利益和社会秩序遭受损害的；2.符合听证条件、行政管理相对人要求听证，应予组织听证而不组织听证的；3.没有法律或者事实依据实施行政处罚的；4.未按法定程序实施行政处罚的；5.违反规定应当回避而不回避，影响公正执行公务，造成不良后果的； 6.泄露因履行职责掌握的商业秘密、个人隐私，造成不良后果的；7.擅自设立处罚种类或者改变处罚幅度、范围的；8.违反 罚缴分离   规定，擅自收取罚款的；9.对当事人进行罚款、没收财物等行政处罚不使用法定单据的；10.依法应当移送其他行政部门或司法机关处理而不移送的；</w:t>
            </w:r>
          </w:p>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11.在监督管理工作中滥用职权、玩忽职守、徇私舞弊的；12.在行政处罚过程中发生腐败行为的；13.其他违反法律法规规章文件规定的行为</w:t>
            </w:r>
          </w:p>
        </w:tc>
        <w:tc>
          <w:tcPr>
            <w:tcW w:w="1550" w:type="dxa"/>
            <w:tcBorders>
              <w:top w:val="single" w:color="auto" w:sz="4" w:space="0"/>
              <w:left w:val="nil"/>
              <w:bottom w:val="nil"/>
              <w:right w:val="nil"/>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1-1.【法律】《中华人民共和国行政处罚法》（2021年中华人民共和国主席令第70号令修订）第七十六条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5-1.【地方政府规章】《广西壮族自治区行政过错责任追究办法》（2004年广西壮族自治区人民政府令第24号)  第八条 实施行政行为，有下列情形之一的，应当追究行政过错责任人的责任: （一）依法应当回避不回避；</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5-2.【法规】《行政机关公务员处分条例》（国务院令第495号）第十九条第五项 有下列行为之一的，给予警告、记过或者记大过处分；情节较重的，给予降级或者撤职处分；情节严重的，给予开除处分：（五）违反规定应当回避而不回避，影响公正执行公务，造成不良后果的。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规】《行政机关公务员处分条例》（国务院令第495号）第二十六条规定：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7-1.【地方政府规章】《广西壮族自治区行政过错责任追究办法》（2004年广西壮族自治区人民政府令第24号)  第十二条  行政机关在实施行政处罚过程中，有下列情形之一的，应当追究行政过错责任：（一）不具备行政处罚主体资格；（二）没有事实和法律依据；（三）擅自改变处罚种类、幅度；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反法定程序；（五）违法处理罚没财物；（六）涉嫌犯罪，不移交司法机关；（七）对违法行为应当处罚不处罚或者乱处罚；（八）其他违法实施行政处罚的情形。行政机关工作人员违反前款规定，应当承担行政过错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8.【法律】《中华人民共和国行政处罚法》（2021年中华人民共和国主席令第70号令修订）第七十八条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9.【法律】《中华人民共和国行政处罚法》（2021年中华人民共和国主席令第70号令修订）第七十七条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10.【法律】《中华人民共和国行政处罚法》（2021年中华人民共和国主席令第70号令修订）第八十二条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11.同1-2。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执法人员利用职务上的便利，索取或者收受他人财物、将收缴罚款据为己有，构成犯罪的，依法追究刑事责任；情节轻微不构成犯罪的，依法给予处分。</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nil"/>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4</w:t>
            </w:r>
          </w:p>
        </w:tc>
        <w:tc>
          <w:tcPr>
            <w:tcW w:w="561" w:type="dxa"/>
            <w:tcBorders>
              <w:top w:val="nil"/>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行政处罚</w:t>
            </w:r>
          </w:p>
        </w:tc>
        <w:tc>
          <w:tcPr>
            <w:tcW w:w="567" w:type="dxa"/>
            <w:tcBorders>
              <w:top w:val="nil"/>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对基层法律服务所违法违规行为的行政处罚</w:t>
            </w:r>
          </w:p>
        </w:tc>
        <w:tc>
          <w:tcPr>
            <w:tcW w:w="567" w:type="dxa"/>
            <w:tcBorders>
              <w:top w:val="nil"/>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52" w:type="dxa"/>
            <w:tcBorders>
              <w:top w:val="nil"/>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nil"/>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【部门规章】《基层法律服务所管理办法》（2000年司法部令第59号发布，2017年司法部令第137号修订）第三十六条 基层法律服务所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（一）超越业务范围和诉讼代理执业区域的；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（二）违反规定不以基层法律服务所名义统一接受委托、统一收取服务费，不向委托人出具有效收费凭证的；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（三）冒用律师事务所名义执业的；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（四）以贬损他人、抬高自己、虚假承诺或者支付介绍费等不正当手段争揽业务的；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（五）伪造、涂改、抵押、出租、出借本所执业证的；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（六）违反规定变更本所名称、法定代表人或者负责人、合伙人、住所和章程的；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（七）不按规定接受年度考核，或者在年度考核中弄虚作假的；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（八）违反财务管理规定，私分、挪用或者以其他方式非法处置本所资产的；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（九）聘用未获准基层法律服务工作者执业的人员以基层法律服务工作者名义承办业务的；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（十）放纵、包庇本所基层法律服务工作者的违法违纪行为的；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（十一）内部管理混乱，无法正常开展业务的；</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（十二）法律、法规、规章规定应予处罚的其他行为。</w:t>
            </w:r>
          </w:p>
        </w:tc>
        <w:tc>
          <w:tcPr>
            <w:tcW w:w="1386" w:type="dxa"/>
            <w:tcBorders>
              <w:top w:val="nil"/>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1.立案责任：对涉嫌违法行为的信息来源进行审查、记录，属本部门受理的进行审核，决定是否立案调查。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调查责任：对立案的案件，指定专人负责，及时组织调查取证，与当事人有直接利害关系的回避。执法人员不得少于两人，调查时应出示执法证件，允许当事人辩解陈述，执法人员应保守有关秘密，客观公正的进行取证，并做好记录。</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审查责任：审理案件调查报告，对案件违法事实、证据、调查取证程序、法律适用、处罚种类和幅度、当事人陈述和申辩理由等方面进行审查，提出处理意见（主要证据不足时，以适当的方式补充调查），提出处理意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4.告知责任：行政处罚决定前，应制作《行政处罚告知书》送达当事人，告知其违法事实和享有的陈述申辩、听证等权利。符合听证规定的，制作并送达《行政处罚听证告知书》。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5.决定责任：制作行政处罚决定书，载明行政处罚告知、当事人陈述申辩或者听证情况等内容。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6.送达责任：行政处罚决定书按法律规定的方式送达当事人。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7.执行责任：依照生效的行政处罚责任，监督当事人履行，当事人不履行的申请法院强制执行，构成犯罪的移交司法机关。</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8.其他法律法规规章文件规定应履行的责任。</w:t>
            </w:r>
          </w:p>
        </w:tc>
        <w:tc>
          <w:tcPr>
            <w:tcW w:w="1567"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1.【法律】《中华人民共和国行政处罚法》（2021年中华人民共和国主席令第70号令修订）第四十条 公民、法人或者其他组织违反行政管理秩序的行为，依法应当给予行政处罚的，行政机关必须查明事实；违法事实不清、证据不足的，不得给予行政处罚。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2-1.【法律】《中华人民共和国行政处罚法》（2021年中华人民共和国主席令第70号令修订）第五十四条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符合立案标准的，行政机关应当及时立案。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2-2.【法律】《中华人民共和国行政处罚法》（2021年中华人民共和国主席令第70号令修订）第五十五条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当事人或者有关人员应当如实回答询问，并协助调查或者检查，不得拒绝或者阻挠。询问或者检查应当制作笔录。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3.【法律】《中华人民共和国行政处罚法》（2021年中华人民共和国主席令第70号令修订）第五十七条 调查终结，行政机关负责人应当对调查结果进行审查，根据不同情况，分别作出如下决定：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（一）确有应受行政处罚的违法行为的，根据情节轻重及具体情况，作出行政处罚决定；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（二）违法行为轻微，依法可以不予行政处罚的，不予行政处罚；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（三）违法事实不能成立的，不予行政处罚；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（四）违法行为涉嫌犯罪的，移送司法机关。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对情节复杂或者重大违法行为给予行政处罚，行政机关负责人应当集体讨论决定。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4.【法律】《中华人民共和国行政处罚法》（2021年中华人民共和国主席令第70号令修订）第七条 公民、法人或者其他组织对行政机关所给予的行政处罚，享有陈述权、申辩权；对行政处罚不服的，有权依法申请行政复议或者提起行政诉讼。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公民、法人或者其他组织因行政机关违法给予行政处罚受到损害的，有权依法提出赔偿要求。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5.【法律】《中华人民共和国行政处罚法》（2021年中华人民共和国主席令第70号令修订）第五十九条 行政机关依照本法第五十七条的规定给予行政处罚，应当制作行政处罚决定书。行政处罚决定书应当载明下列事项：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（一）当事人的姓名或者名称、地址；</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（二）违反法律、法规、规章的事实和证据；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（三）行政处罚的种类和依据；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（四）行政处罚的履行方式和期限；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（五）申请行政复议、提起行政诉讼的途径和期限；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（六）作出行政处罚决定的行政机关名称和作出决定的日期。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行政处罚决定书必须盖有作出行政处罚决定的行政机关的印章。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6.【法律】《中华人民共和国行政处罚法》（2021年中华人民共和国主席令第70号令修订）第六十一条 行政处罚决定书应当在宣告后当场交付当事人；当事人不在场的，行政机关应当在七日内依照《中华人民共和国民事诉讼法》的有关规定，将行政处罚决定书送达当事人。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当事人同意并签订确认书的，行政机关可以采用传真、电子邮件等方式，将行政处罚决定书等送达当事人。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7.【法律】《中华人民共和国行政处罚法》（2021年中华人民共和国主席令第70号令修订）：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第六十六条 行政处罚决定依法作出后，当事人应当在行政处罚决定书载明的期限内，予以履行。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当事人确有经济困难，需要延期或者分期缴纳罚款的，经当事人申请和行政机关批准，可以暂缓或者分期缴纳。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第七十二条 当事人逾期不履行行政处罚决定的，作出行政处罚决定的行政机关可以采取下列措施：</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（一）到期不缴纳罚款的，每日按罚款数额的百分之三加处罚款，加处罚款的数额不得超出罚款的数额；</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（二）根据法律规定，将查封、扣押的财物拍卖、依法处理或者将冻结的存款、汇款划拨抵缴罚款；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（三）根据法律规定，采取其他行政强制执行方式；</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（四）依照《中华人民共和国行政强制法》的规定申请人民法院强制执行。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行政机关批准延期、分期缴纳罚款的，申请人民法院强制执行的期限，自暂缓或者分期缴纳罚款期限结束之日起计算。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c>
          <w:tcPr>
            <w:tcW w:w="1533" w:type="dxa"/>
            <w:tcBorders>
              <w:top w:val="nil"/>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主管机关及相关工作人员应承担相应责任：1.对应当予以制止和处罚的违法行为不予制止、处罚，致使公民、法人或者其他组织的合法权益、公共利益和社会秩序遭受损害的；2.符合听证条件、行政管理相对人要求听证，应予组织听证而不组织听证的；3.没有法律或者事实依据实施行政处罚的；4.未按法定程序实施行政处罚的；5.违反规定应当回避而不回避，影响公正执行公务，造成不良后果的； 6.泄露因履行职责掌握的商业秘密、个人隐私，造成不良后果的；7.擅自设立处罚种类或者改变处罚幅度、范围的；8.违反 罚缴分离   规定，擅自收取罚款的；9.对当事人进行罚款、没收财物等行政处罚不使用法定单据的；10.依法应当移送其他行政部门或司法机关处理而不移送的；</w:t>
            </w:r>
          </w:p>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11.在监督管理工作中滥用职权、玩忽职守、徇私舞弊的；12.在行政处罚过程中发生腐败行为的；13.其他违反法律法规规章文件规定的行为</w:t>
            </w:r>
          </w:p>
        </w:tc>
        <w:tc>
          <w:tcPr>
            <w:tcW w:w="1550" w:type="dxa"/>
            <w:tcBorders>
              <w:top w:val="nil"/>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1-1.【法律】《中华人民共和国行政处罚法》（2021年中华人民共和国主席令第70号令修订）第七十六条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5-1.【地方政府规章】《广西壮族自治区行政过错责任追究办法》（2004年广西壮族自治区人民政府令第24号)  第八条 实施行政行为，有下列情形之一的，应当追究行政过错责任人的责任: （一）依法应当回避不回避；</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5-2.【法规】《行政机关公务员处分条例》（国务院令第495号）第十九条第五项 有下列行为之一的，给予警告、记过或者记大过处分；情节较重的，给予降级或者撤职处分；情节严重的，给予开除处分：（五）违反规定应当回避而不回避，影响公正执行公务，造成不良后果的。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规】《行政机关公务员处分条例》（国务院令第495号）第二十六条规定：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7-1.【地方政府规章】《广西壮族自治区行政过错责任追究办法》（2004年广西壮族自治区人民政府令第24号)  第十二条  行政机关在实施行政处罚过程中，有下列情形之一的，应当追究行政过错责任：（一）不具备行政处罚主体资格；（二）没有事实和法律依据；（三）擅自改变处罚种类、幅度；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反法定程序；（五）违法处理罚没财物；（六）涉嫌犯罪，不移交司法机关；（七）对违法行为应当处罚不处罚或者乱处罚；（八）其他违法实施行政处罚的情形。行政机关工作人员违反前款规定，应当承担行政过错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8.【法律】《中华人民共和国行政处罚法》（2021年中华人民共和国主席令第70号令修订）第七十八条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9.【法律】《中华人民共和国行政处罚法》（2021年中华人民共和国主席令第70号令修订）第七十七条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10.【法律】《中华人民共和国行政处罚法》（2021年中华人民共和国主席令第70号令修订）第八十二条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11.同1-2。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执法人员利用职务上的便利，索取或者收受他人财物、将收缴罚款据为己有，构成犯罪的，依法追究刑事责任；情节轻微不构成犯罪的，依法给予处分。</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5</w:t>
            </w:r>
          </w:p>
        </w:tc>
        <w:tc>
          <w:tcPr>
            <w:tcW w:w="56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行政处罚</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对基层法律服务工作者违法违规行为的行政处罚</w:t>
            </w:r>
          </w:p>
        </w:tc>
        <w:tc>
          <w:tcPr>
            <w:tcW w:w="567" w:type="dxa"/>
            <w:tcBorders>
              <w:top w:val="single" w:color="auto" w:sz="4" w:space="0"/>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5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【部门规章】《基层法律服务工作者管理办法》（2000年司法部令第60号发布，2017年司法部令第138号修订）第四十六条 基层法律服务工作者有下列行为之一的，由所在地县级司法行政机关或者直辖市的区（县）司法行政机关予以警告；有违法所得的，依照法律、法规的规定没收违法所得，并由设区的市级或者直辖市的区（县）司法行政机关处以违法所得三倍以下的罚款，罚款数额最高为三万元：</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（一）超越业务范围和诉讼代理执业区域的；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（二）以贬损他人、抬高自己、虚假承诺或者支付介绍费等不正当手段争揽业务的；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（三）曾担任法官的基层法律服务工作者，担任原任职法院办理案件的诉讼代理人的；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（四）冒用律师名义执业的；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（五）同时在基层法律服务所和律师事务所或者公证机构执业，或者同时在两个以上基层法律服务所执业的；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（六）无正当理由拒绝履行法律援助义务的；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（七）明知委托人的要求是非法的、欺诈性的，仍为其提供帮助的；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（八）在代理活动中超越代理权限或者滥用代理权，侵犯被代理人合法利益的；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（九）在同一诉讼、仲裁、行政裁决中，为双方当事人或者有利害关系的第三人代理的；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（十）不遵守与当事人订立的委托合同，拒绝或者疏怠履行法律服务义务，损害委托人合法权益的；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（十一）在调解、代理、法律顾问等执业活动中压制、侮辱、报复当事人，造成恶劣影响的；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（十二）不按规定接受年度考核，或者在年度考核中弄虚作假的；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（十三）泄露在执业活动中知悉的商业秘密或者个人隐私的；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（十四）以影响案件审判、仲裁或者行政裁定结果为目的，违反规定会见有关司法、仲裁或者行政执法人员，或者向其请客送礼的；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（十五）私自接受委托承办法律事务，或者私自收取费用，或者向委托人索要额外报酬的；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（十六）在代理活动中收受对方当事人、利害关系人财物或者与其恶意串通，损害委托人合法权益的；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（十七）违反司法、仲裁、行政执法工作有关制度规定，干扰或者阻碍司法、仲裁、行政执法工作正常进行的；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（十八）泄露在执业活动中知悉的国家秘密的；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（十九）伪造、隐匿、毁灭证据或者故意协助委托人伪造、隐匿、毁灭证据的；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（二十）向有关司法人员、仲裁员或者行政执法人员行贿、介绍贿赂，或者指使、诱导委托人向其行贿的；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（二十一）法律、法规、规章规定应予处罚的其他行为。</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司法行政机关对基层法律服务工作者实施上述行政处罚的同时，应当责令其改正。</w:t>
            </w:r>
          </w:p>
        </w:tc>
        <w:tc>
          <w:tcPr>
            <w:tcW w:w="138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1.立案责任：对涉嫌违法行为的信息来源进行审查、记录，属本部门受理的进行审核，决定是否立案调查。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调查责任：对立案的案件，指定专人负责，及时组织调查取证，与当事人有直接利害关系的回避。执法人员不得少于两人，调查时应出示执法证件，允许当事人辩解陈述，执法人员应保守有关秘密，客观公正的进行取证，并做好记录。</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审查责任：审理案件调查报告，对案件违法事实、证据、调查取证程序、法律适用、处罚种类和幅度、当事人陈述和申辩理由等方面进行审查，提出处理意见（主要证据不足时，以适当的方式补充调查），提出处理意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4.告知责任：行政处罚决定前，应制作《行政处罚告知书》送达当事人，告知其违法事实和享有的陈述申辩、听证等权利。符合听证规定的，制作并送达《行政处罚听证告知书》。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5.决定责任：制作行政处罚决定书，载明行政处罚告知、当事人陈述申辩或者听证情况等内容。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6.送达责任：行政处罚决定书按法律规定的方式送达当事人。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7.执行责任：依照生效的行政处罚责任，监督当事人履行，当事人不履行的申请法院强制执行，构成犯罪的移交司法机关。</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8.其他法律法规规章文件规定应履行的责任。</w:t>
            </w:r>
          </w:p>
        </w:tc>
        <w:tc>
          <w:tcPr>
            <w:tcW w:w="1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1.【法律】《中华人民共和国行政处罚法》（2021年中华人民共和国主席令第70号令修订）第四十条 公民、法人或者其他组织违反行政管理秩序的行为，依法应当给予行政处罚的，行政机关必须查明事实；违法事实不清、证据不足的，不得给予行政处罚。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2-1.【法律】《中华人民共和国行政处罚法》（2021年中华人民共和国主席令第70号令修订）第五十四条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符合立案标准的，行政机关应当及时立案。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2-2.【法律】《中华人民共和国行政处罚法》（2021年中华人民共和国主席令第70号令修订）第五十五条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当事人或者有关人员应当如实回答询问，并协助调查或者检查，不得拒绝或者阻挠。询问或者检查应当制作笔录。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3.【法律】《中华人民共和国行政处罚法》（2021年中华人民共和国主席令第70号令修订）第五十七条 调查终结，行政机关负责人应当对调查结果进行审查，根据不同情况，分别作出如下决定：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（一）确有应受行政处罚的违法行为的，根据情节轻重及具体情况，作出行政处罚决定；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（二）违法行为轻微，依法可以不予行政处罚的，不予行政处罚；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（三）违法事实不能成立的，不予行政处罚；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（四）违法行为涉嫌犯罪的，移送司法机关。</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对情节复杂或者重大违法行为给予行政处罚，行政机关负责人应当集体讨论决定。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4.【法律】《中华人民共和国行政处罚法》（2021年中华人民共和国主席令第70号令修订）第七条 公民、法人或者其他组织对行政机关所给予的行政处罚，享有陈述权、申辩权；对行政处罚不服的，有权依法申请行政复议或者提起行政诉讼。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公民、法人或者其他组织因行政机关违法给予行政处罚受到损害的，有权依法提出赔偿要求。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5.【法律】《中华人民共和国行政处罚法》（2021年中华人民共和国主席令第70号令修订）第五十九条 行政机关依照本法第五十七条的规定给予行政处罚，应当制作行政处罚决定书。行政处罚决定书应当载明下列事项：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（一）当事人的姓名或者名称、地址；</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（二）违反法律、法规、规章的事实和证据；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（三）行政处罚的种类和依据；</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（四）行政处罚的履行方式和期限；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（五）申请行政复议、提起行政诉讼的途径和期限；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（六）作出行政处罚决定的行政机关名称和作出决定的日期。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行政处罚决定书必须盖有作出行政处罚决定的行政机关的印章。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6.【法律】《中华人民共和国行政处罚法》（2021年中华人民共和国主席令第70号令修订）第六十一条 行政处罚决定书应当在宣告后当场交付当事人；当事人不在场的，行政机关应当在七日内依照《中华人民共和国民事诉讼法》的有关规定，将行政处罚决定书送达当事人。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当事人同意并签订确认书的，行政机关可以采用传真、电子邮件等方式，将行政处罚决定书等送达当事人。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7.【法律】《中华人民共和国行政处罚法》（2021年中华人民共和国主席令第70号令修订）：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第六十六条 行政处罚决定依法作出后，当事人应当在行政处罚决定书载明的期限内，予以履行。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当事人确有经济困难，需要延期或者分期缴纳罚款的，经当事人申请和行政机关批准，可以暂缓或者分期缴纳。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第七十二条 当事人逾期不履行行政处罚决定的，作出行政处罚决定的行政机关可以采取下列措施：</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（一）到期不缴纳罚款的，每日按罚款数额的百分之三加处罚款，加处罚款的数额不得超出罚款的数额；</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（二）根据法律规定，将查封、扣押的财物拍卖、依法处理或者将冻结的存款、汇款划拨抵缴罚款；</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（三）根据法律规定，采取其他行政强制执行方式；</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（四）依照《中华人民共和国行政强制法》的规定申请人民法院强制执行。</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行政机关批准延期、分期缴纳罚款的，申请人民法院强制执行的期限，自暂缓或者分期缴纳罚款期限结束之日起计算。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snapToGrid w:val="0"/>
                <w:color w:val="000000"/>
                <w:sz w:val="20"/>
                <w:szCs w:val="20"/>
              </w:rPr>
            </w:pP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c>
          <w:tcPr>
            <w:tcW w:w="15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主管机关及相关工作人员应承担相应责任：1.对应当予以制止和处罚的违法行为不予制止、处罚，致使公民、法人或者其他组织的合法权益、公共利益和社会秩序遭受损害的；2.符合听证条件、行政管理相对人要求听证，应予组织听证而不组织听证的；3.没有法律或者事实依据实施行政处罚的；4.未按法定程序实施行政处罚的；5.违反规定应当回避而不回避，影响公正执行公务，造成不良后果的； 6.泄露因履行职责掌握的商业秘密、个人隐私，造成不良后果的；7.擅自设立处罚种类或者改变处罚幅度、范围的；8.违反 罚缴分离   规定，擅自收取罚款的；9.对当事人进行罚款、没收财物等行政处罚不使用法定单据的；10.依法应当移送其他行政部门或司法机关处理而不移送的；</w:t>
            </w:r>
          </w:p>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11.在监督管理工作中滥用职权、玩忽职守、徇私舞弊的；12.在行政处罚过程中发生腐败行为的；13.其他违反法律法规规章文件规定的行为</w:t>
            </w:r>
          </w:p>
        </w:tc>
        <w:tc>
          <w:tcPr>
            <w:tcW w:w="15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1-1.【法律】《中华人民共和国行政处罚法》（2021年中华人民共和国主席令第70号令修订）第七十六条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行政机关对符合立案标准的案件不及时立案的，依照前款规定予以处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5-1.【地方政府规章】《广西壮族自治区行政过错责任追究办法》（2004年广西壮族自治区人民政府令第24号)  第八条 实施行政行为，有下列情形之一的，应当追究行政过错责任人的责任: （一）依法应当回避不回避；</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5-2.【法规】《行政机关公务员处分条例》（国务院令第495号）第十九条第五项 有下列行为之一的，给予警告、记过或者记大过处分；情节较重的，给予降级或者撤职处分；情节严重的，给予开除处分：（五）违反规定应当回避而不回避，影响公正执行公务，造成不良后果的。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6.【法规】《行政机关公务员处分条例》（国务院令第495号）第二十六条规定：泄露国家秘密、工作秘密，或者泄露因履行职责掌握的商业秘密、个人隐私，造成不良后果的，给予警告、记过或者记大过处分；情节较重的，给予降级或者撤职处分；情节严重的，给予开除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7-1.【地方政府规章】《广西壮族自治区行政过错责任追究办法》（2004年广西壮族自治区人民政府令第24号)  第十二条  行政机关在实施行政处罚过程中，有下列情形之一的，应当追究行政过错责任：（一）不具备行政处罚主体资格；（二）没有事实和法律依据；（三）擅自改变处罚种类、幅度；</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违反法定程序；（五）违法处理罚没财物；（六）涉嫌犯罪，不移交司法机关；（七）对违法行为应当处罚不处罚或者乱处罚；（八）其他违法实施行政处罚的情形。行政机关工作人员违反前款规定，应当承担行政过错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7-2.同1-1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8.【法律】《中华人民共和国行政处罚法》（2021年中华人民共和国主席令第70号令修订）第七十八条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9.【法律】《中华人民共和国行政处罚法》（2021年中华人民共和国主席令第70号令修订）第七十七条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10.【法律】《中华人民共和国行政处罚法》（2021年中华人民共和国主席令第70号令修订）第八十二条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11.同1-2。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12.【法律】《中华人民共和国行政处罚法》（2021年中华人民共和国主席令第70号令修订）第七十九条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执法人员利用职务上的便利，索取或者收受他人财物、将收缴罚款据为己有，构成犯罪的，依法追究刑事责任；情节轻微不构成犯罪的，依法给予处分。</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6</w:t>
            </w:r>
          </w:p>
        </w:tc>
        <w:tc>
          <w:tcPr>
            <w:tcW w:w="56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行政给付</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办理法律援助事项</w:t>
            </w:r>
          </w:p>
        </w:tc>
        <w:tc>
          <w:tcPr>
            <w:tcW w:w="567" w:type="dxa"/>
            <w:tcBorders>
              <w:top w:val="single" w:color="auto" w:sz="4" w:space="0"/>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eastAsia="zh-CN"/>
              </w:rPr>
            </w:pPr>
          </w:p>
        </w:tc>
        <w:tc>
          <w:tcPr>
            <w:tcW w:w="55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snapToGrid w:val="0"/>
                <w:color w:val="00000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snapToGrid w:val="0"/>
                <w:color w:val="000000"/>
                <w:sz w:val="20"/>
                <w:szCs w:val="20"/>
                <w:lang w:eastAsia="zh-CN"/>
              </w:rPr>
            </w:pPr>
            <w:r>
              <w:rPr>
                <w:rFonts w:hint="eastAsia" w:eastAsia="仿宋_GB2312" w:cs="仿宋_GB2312"/>
                <w:snapToGrid w:val="0"/>
                <w:color w:val="000000"/>
                <w:sz w:val="20"/>
                <w:szCs w:val="20"/>
                <w:lang w:eastAsia="zh-CN"/>
              </w:rPr>
              <w:t>城中区</w:t>
            </w:r>
          </w:p>
          <w:p>
            <w:pPr>
              <w:widowControl/>
              <w:adjustRightInd w:val="0"/>
              <w:snapToGrid w:val="0"/>
              <w:spacing w:line="300" w:lineRule="exact"/>
              <w:jc w:val="center"/>
              <w:rPr>
                <w:rFonts w:hint="eastAsia" w:eastAsia="仿宋_GB2312" w:cs="仿宋_GB2312"/>
                <w:snapToGrid w:val="0"/>
                <w:color w:val="000000"/>
                <w:sz w:val="20"/>
                <w:szCs w:val="20"/>
                <w:lang w:eastAsia="zh-CN"/>
              </w:rPr>
            </w:pPr>
            <w:r>
              <w:rPr>
                <w:rFonts w:hint="eastAsia" w:eastAsia="仿宋_GB2312" w:cs="仿宋_GB2312"/>
                <w:snapToGrid w:val="0"/>
                <w:color w:val="000000"/>
                <w:sz w:val="20"/>
                <w:szCs w:val="20"/>
                <w:lang w:eastAsia="zh-CN"/>
              </w:rPr>
              <w:t>法律援助中心</w:t>
            </w:r>
          </w:p>
        </w:tc>
        <w:tc>
          <w:tcPr>
            <w:tcW w:w="21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1.【法律】《中华人民共和国法律援助法》第十二条 县级以上人民政府司法行政部门应当设立法律援助机构。法律援助机构负责组织实施法律援助工作，受理、审查法律援助申请，指派律师、基层法律服务工作者、法律援助志愿者等法律援助人员提供法律援助，支付法律援助补贴。</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2.【行政法规】《法律援助条例》（2003年国务院令第385号）第五条 直辖市、设区的市或者县级人民政府司法行政部门根据需要确定本行政区域的法律援助机构。法律援助机构负责受理、审查法律援助申请，指派或者安排人员为符合本条例规定的公民提供法律援助。</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3.【地方性法规】《广西壮族自治区法律援助条例》（2002年自治区人民代表大会常务委员会公告九届第65号发布，2010年自治区人民代表大会常务委员会公告十一届25号修订）第四条  县级以上人民政府司法行政部门监督管理本行政区域内的法律援助工作。</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县级以上人民政府司法行政部门确定的法律援助机构负责受理、审查法律援助申请，指派律师事务所、基层法律服务机构安排法律援助人员或者直接安排法律援助人员为符合本条例规定的公民提供法律援助，并对法律援助人员办理法律援助事项进行监督、指导。</w:t>
            </w:r>
          </w:p>
        </w:tc>
        <w:tc>
          <w:tcPr>
            <w:tcW w:w="138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1.受理责任：公示应当提交的材料；一次性告知补正材料；依法受理或不予受理（不予受理应当告知理由）。</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2.审查责任：按照规定对法律援助申请进行审查。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3.决定责任：自收到法律援助申请之日起七日内进行审查，作出是否给予法律援助的决定。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4.送达责任：制作通知书，送达当事人。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5.事后监管环节责任：对指派后法律援助承办过程实施监督管理。</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6.其他法律法规规章文件规定应履行的责任。</w:t>
            </w:r>
          </w:p>
        </w:tc>
        <w:tc>
          <w:tcPr>
            <w:tcW w:w="1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1-1.【部门规章】《办理法律援助案件程序规定》（2012年中华人民共和国司法部令第124号）第七条　法律援助机构应当公示办公地址、通讯方式等信息，在接待场所和司法行政政府网站上公示法律援助条件、程序、申请材料目录和申请示范文本等。</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1-2.【部门规章】《办理法律援助案件程序规定》（2012年中华人民共和国司法部令第124号）第十二条　法律援助机构受理法律援助申请后，应当向申请人出具收到申请材料的书面凭证，载明收到申请材料的名称、数量、日期。</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1-3.【部门规章】《办理法律援助案件程序规定》（2012年中华人民共和国司法部令第124号）第十三条　法律援助机构应当自受理申请之日起7个工作日内进行审查，并作出是否给予法律援助的决定；属于本规定第十四条规定情形的，可以适当延长审查期限。</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法律援助机构经审查认为申请人提交的申请材料不齐全或者内容不清楚的，应当发出补充材料通知或者要求申请人作出说明。申请人补充材料、作出说明所需的时间不计入审查期限。申请人未按要求补充材料或者作出说明的，视为撤销申请。</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2.【法律】《中华人民共和国法律援助法》第四十三条 法律援助机构应当自收到法律援助申请之日起七日内进行审查，作出是否给予法律援助的决定。决定给予法律援助的，应当自作出决定之日起三日内指派法律援助人员为受援人提供法律援助；决定不给予法律援助的，应当书面告知申请人，并说明理由。</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申请人提交的申请材料不齐全的，法律援助机构应当一次性告知申请人需要补充的材料或者要求申请人作出说明。申请人未按要求补充材料或者作出说明的，视为撤回申请。</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3.同2。</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4.【部门规章】《办理法律援助案件程序规定》（2012年司法部令第124号）第十七条　给予法律援助决定书和不予法律援助决定书应当发送申请人；属于本规定第十一条规定情形的，法律援助机构还应当同时函告有关人民法院、人民检察院、公安机关及监狱、看守所、劳动教养管理所、强制隔离戒毒所。</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5.【法律】《中华人民共和国法律援助法》第五十九条法律援助机构应当综合运用庭审旁听、案卷检查、征询司法机关意见和回访受援人等措施，督促法律援助人员提升服务质量。</w:t>
            </w:r>
          </w:p>
        </w:tc>
        <w:tc>
          <w:tcPr>
            <w:tcW w:w="15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eastAsia="仿宋_GB2312" w:cs="仿宋_GB2312"/>
                <w:snapToGrid w:val="0"/>
                <w:color w:val="000000"/>
                <w:sz w:val="20"/>
                <w:szCs w:val="20"/>
              </w:rPr>
            </w:pPr>
            <w:r>
              <w:rPr>
                <w:rFonts w:hint="eastAsia" w:eastAsia="仿宋_GB2312" w:cs="仿宋_GB2312"/>
                <w:snapToGrid w:val="0"/>
                <w:color w:val="000000"/>
                <w:sz w:val="20"/>
                <w:szCs w:val="20"/>
              </w:rPr>
              <w:t>1.</w:t>
            </w:r>
            <w:r>
              <w:rPr>
                <w:rFonts w:eastAsia="仿宋_GB2312" w:cs="仿宋_GB2312"/>
                <w:snapToGrid w:val="0"/>
                <w:color w:val="000000"/>
                <w:sz w:val="20"/>
                <w:szCs w:val="20"/>
              </w:rPr>
              <w:t>拒绝为符合法律援助条件的人员提供法律援助，或者故意为不符合法律援助条件的人员提供法律援助；</w:t>
            </w:r>
          </w:p>
          <w:p>
            <w:pPr>
              <w:widowControl/>
              <w:adjustRightInd w:val="0"/>
              <w:snapToGrid w:val="0"/>
              <w:spacing w:line="300" w:lineRule="exact"/>
              <w:ind w:firstLine="400" w:firstLineChars="200"/>
              <w:rPr>
                <w:rFonts w:eastAsia="仿宋_GB2312" w:cs="仿宋_GB2312"/>
                <w:snapToGrid w:val="0"/>
                <w:color w:val="000000"/>
                <w:sz w:val="20"/>
                <w:szCs w:val="20"/>
              </w:rPr>
            </w:pPr>
            <w:r>
              <w:rPr>
                <w:rFonts w:hint="eastAsia" w:eastAsia="仿宋_GB2312" w:cs="仿宋_GB2312"/>
                <w:snapToGrid w:val="0"/>
                <w:color w:val="000000"/>
                <w:sz w:val="20"/>
                <w:szCs w:val="20"/>
              </w:rPr>
              <w:t>2.</w:t>
            </w:r>
            <w:r>
              <w:rPr>
                <w:rFonts w:eastAsia="仿宋_GB2312" w:cs="仿宋_GB2312"/>
                <w:snapToGrid w:val="0"/>
                <w:color w:val="000000"/>
                <w:sz w:val="20"/>
                <w:szCs w:val="20"/>
              </w:rPr>
              <w:t>指派不符合本法规定的人员提供法律援助；</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w:t>
            </w:r>
            <w:r>
              <w:rPr>
                <w:rFonts w:eastAsia="仿宋_GB2312" w:cs="仿宋_GB2312"/>
                <w:snapToGrid w:val="0"/>
                <w:color w:val="000000"/>
                <w:sz w:val="20"/>
                <w:szCs w:val="20"/>
              </w:rPr>
              <w:t>收取受援人财物；</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w:t>
            </w:r>
            <w:r>
              <w:rPr>
                <w:rFonts w:eastAsia="仿宋_GB2312" w:cs="仿宋_GB2312"/>
                <w:snapToGrid w:val="0"/>
                <w:color w:val="000000"/>
                <w:sz w:val="20"/>
                <w:szCs w:val="20"/>
              </w:rPr>
              <w:t>从事有偿法律服务；</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w:t>
            </w:r>
            <w:r>
              <w:rPr>
                <w:rFonts w:eastAsia="仿宋_GB2312" w:cs="仿宋_GB2312"/>
                <w:snapToGrid w:val="0"/>
                <w:color w:val="000000"/>
                <w:sz w:val="20"/>
                <w:szCs w:val="20"/>
              </w:rPr>
              <w:t>侵占、私分、挪用法律援助经费；</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w:t>
            </w:r>
            <w:r>
              <w:rPr>
                <w:rFonts w:eastAsia="仿宋_GB2312" w:cs="仿宋_GB2312"/>
                <w:snapToGrid w:val="0"/>
                <w:color w:val="000000"/>
                <w:sz w:val="20"/>
                <w:szCs w:val="20"/>
              </w:rPr>
              <w:t>泄露法律援助过程中知悉的国家秘密、商业秘密和个人隐私；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7.</w:t>
            </w:r>
            <w:r>
              <w:rPr>
                <w:rFonts w:eastAsia="仿宋_GB2312" w:cs="仿宋_GB2312"/>
                <w:snapToGrid w:val="0"/>
                <w:color w:val="000000"/>
                <w:sz w:val="20"/>
                <w:szCs w:val="20"/>
              </w:rPr>
              <w:t>法律法规规定的其他情形。</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c>
          <w:tcPr>
            <w:tcW w:w="1550" w:type="dxa"/>
            <w:tcBorders>
              <w:top w:val="single" w:color="auto" w:sz="4" w:space="0"/>
              <w:left w:val="nil"/>
              <w:bottom w:val="single" w:color="auto" w:sz="4" w:space="0"/>
              <w:right w:val="single" w:color="auto" w:sz="4" w:space="0"/>
            </w:tcBorders>
            <w:vAlign w:val="center"/>
          </w:tcPr>
          <w:p>
            <w:pPr>
              <w:pStyle w:val="3"/>
              <w:widowControl/>
              <w:spacing w:before="0" w:beforeAutospacing="0" w:after="0" w:afterAutospacing="0" w:line="300" w:lineRule="exact"/>
              <w:rPr>
                <w:rFonts w:hint="eastAsia" w:eastAsia="仿宋_GB2312" w:cs="仿宋_GB2312"/>
                <w:snapToGrid w:val="0"/>
                <w:color w:val="000000"/>
                <w:kern w:val="2"/>
                <w:sz w:val="20"/>
                <w:szCs w:val="20"/>
              </w:rPr>
            </w:pPr>
            <w:r>
              <w:rPr>
                <w:rFonts w:hint="eastAsia" w:eastAsia="仿宋_GB2312" w:cs="仿宋_GB2312"/>
                <w:snapToGrid w:val="0"/>
                <w:color w:val="000000"/>
                <w:kern w:val="2"/>
                <w:sz w:val="20"/>
                <w:szCs w:val="20"/>
              </w:rPr>
              <w:t>【法律】《中华人民共和国法律援助法》</w:t>
            </w:r>
            <w:r>
              <w:rPr>
                <w:rFonts w:eastAsia="仿宋_GB2312" w:cs="仿宋_GB2312"/>
                <w:snapToGrid w:val="0"/>
                <w:color w:val="000000"/>
                <w:kern w:val="2"/>
                <w:sz w:val="20"/>
                <w:szCs w:val="20"/>
              </w:rPr>
              <w:t>第六十一条法律援助机构及其工作人员有下列情形之一的，由设立该法律援助机构的司法行政部门责令限期改正；有违法所得的，责令退还或者没收违法所得；对直接负责的主管人员和其他直接责任人员，依法给予处分：（一）拒绝为符合法律援助条件的人员提供法律援助，或者故意为不符合法律援助条件的人员提供法律援助；（二）指派不符合本法规定的人员提供法律援助；（三）收取受援人财物；（四）从事有偿法律服务；（五）侵占、私分、挪用法律援助经费；（六）泄露法律援助过程中知悉的国家秘密、商业秘密和个人隐私；（七）法律法规规定的其他情形。</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7</w:t>
            </w:r>
          </w:p>
        </w:tc>
        <w:tc>
          <w:tcPr>
            <w:tcW w:w="56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行政检查</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对基层法律服务所的年度考核</w:t>
            </w:r>
          </w:p>
        </w:tc>
        <w:tc>
          <w:tcPr>
            <w:tcW w:w="567" w:type="dxa"/>
            <w:tcBorders>
              <w:top w:val="single" w:color="auto" w:sz="4" w:space="0"/>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5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【部门规章】《基层法律服务所管理办法》（2000年司法部令第59号发布，2017年司法部令第137号修订）第二十九条  设区的市级或者直辖市的区（县）司法行政机关应当每年对基层法律服务所进行年度考核。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对基层法律服务所进行年度考核的具体办法，由省、自治区、直辖市司法行政机关依据本办法和有关规定制定。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第三十条  基层法律服务所接受年度考核，应当提交下列材料：（一）上年度本所工作总结报告和本年度工作计划；（二）上年度本所财务报表；（三）《基层法律服务所执业证》副本；（四）司法行政机关要求提交的其他材料。</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第三十一条  基层法律服务所的年度考核材料，经所在地县级司法行政机关审查后报送设区的市级司法行政机关审核，或者由直辖市的区（县）司法行政机关审核。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第三十二条  设区的市级或者直辖市的区（县）司法行政机关在年度考核中，对有本办法第三十六条所列行为、尚未处理的基层法律服务所，按照本办法第三十六条至第三十九条的规定进行处理。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在年度考核中，不符合本办法规定条件的基层法律服务所，应当在所在地县级司法行政机关或者直辖市的区（县）司法行政机关监督下，限期整改。期满后仍不符合本办法相关规定的，应当办理注销手续。</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第三十三条  省、自治区、直辖市司法行政机关应当建立基层法律服务所和基层法律服务工作者信息管理系统，按照有关规定向社会公开基层法律服务所、基层法律服务工作者基本信息和年度考核结果、奖惩情况，并将基层法律服务所、    基层法律服务工作者信用记录纳入本省、自治区、直辖市信用信息共享平台。</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第三十四条  县级司法行政机关或者直辖市的区（县）司法行政机关对基层法律服务所的日常执业活动和内部管理工作进行指导和监督，可以按照有关规定对基层法律服务所进行检查，要求基层法律服务所报告工作、说明情况、提交有关材料。司法所可以根据县级司法行政机关或者直辖市的区（县）司法行政机关要求，承担对基层法律服务所进行指导监督的具体工作。</w:t>
            </w:r>
          </w:p>
        </w:tc>
        <w:tc>
          <w:tcPr>
            <w:tcW w:w="138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1.受理阶段责任：公示依法应当提交的材料、需要提交的全部材料目录；说明解释的责任；是否当场受理或一次性告知补正材料；依法受理或不予受理（不予受理应当告知理由）。</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2.审核阶段责任：在收到基层法律服务所提交的申请材料后，于30个工作日内完成审核。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3.决定阶段责任：考核合格的，做出年度考核合格决定。考核不合格，给予1-6个月暂缓整改期，整改期满仍不能通过考核的，注销其基层法律服务所资格。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4.送达阶段责任：将加盖公章考核合格证书发放至申请人。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5.监管环节责任：校验后对其从事基层法律服务工作进行定期检查。</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6.其他法律法规规章文件规定应履行的责任。</w:t>
            </w:r>
          </w:p>
        </w:tc>
        <w:tc>
          <w:tcPr>
            <w:tcW w:w="1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 【法律】《中华人民共和国行政许可法》（2019年中华人民共和国主席令第29号修正）第三十条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 【法律】《中华人民共和国行政许可法》（2019年中华人民共和国主席令第29号修正）第三十二条   行政机关对申请人提出的行政许可申请，应当根据下列情况分别作出处理： （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 【法律】《中华人民共和国行政许可法》（2019年中华人民共和国主席令第29号修正）第三十四条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 第三十七条 行政机关对行政许可申请进行审查后，除当场作出行政许可决定的外，应当在法定期限内按照规定程序作出行政许可决定。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4-1. 【法律】《中华人民共和国行政许可法》（2019年中华人民共和国主席令第29号修正）第四十四条  行政机关作出准予行政许可的决定，应当自作出决定之日起十日内向申请人颁发、送达行政许可证件，或者加贴标签、加盖检验、检测、检疫印章。</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4-2. 【法律】《中华人民共和国行政许可法》（2019年中华人民共和国主席令第29号修正）第四十条  行政机关作出的准予行政许可决定，应当予以公开，公众有权查阅。第四十三条依法应当先经下级行政机关审查后报上级行政机关决定的行政许可，下级行政机关应当自其受理行政许可申请之日起二十日内审查完毕。但是，法律、法规另有规定的，依照其规定。</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5. 【法律】《中华人民共和国行政许可法》（2019年中华人民共和国主席令第29号修正）第六十一条  行政机关应当建立健全监督制度，通过核查反映被许可人从事行政许可事项活动情况的有关材料，履行监督责任。行政机关依法对被许可人从事行政许可事项的活动进行监督检查时，应当将监督检查的情况和处理结果予以记录，由监督检查人员签字后归档。公众有权查阅行政机关监督检查记录。行政机关应当创造条件，实现与被许可人、其他有关行政机关的计算机档案系统互联，核查被许可人从事行政许可事项活动情况。第六十二条行政机关可以对被许可人生产经营的产品依法进行抽样检查、检验、检测，对其生产经营场所依法进行实地检查。检查时，行政机关可以依法查阅或者要求被许可人报送有关材料；被许可人应当如实提供有关情况和材料。行政机关根据法律、行政法规的规定，对直接关系公共安全、人身健康、生命财产安全的重要设备、设施进行定期检验。对检验合格的，行政机关应当发给相应的证明文件。第六十三条 行政机关实施监督检查，不得妨碍被许可人正常的生产经营活动，不得索取或者收受被许可人的财物，不得谋取其他利益。</w:t>
            </w:r>
          </w:p>
        </w:tc>
        <w:tc>
          <w:tcPr>
            <w:tcW w:w="15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因不履行或不正确履行行政职责，有下列情形的，行政机关及相关工作人员应承担相应责任：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1.不履行法定职责对应当校验而不予校验的。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2.在年度考核过程中发生腐败行为的。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3.超过法定权限或者给予不具备规定条件的基层法律服务所通过考核的。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4.拒绝或者拖延履行法定职责，无故刁难行政相对人，造成不良影响的。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5.索取、收受贿赂的。</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6.其他违反法律法规规章文件规定的行为。</w:t>
            </w:r>
          </w:p>
        </w:tc>
        <w:tc>
          <w:tcPr>
            <w:tcW w:w="15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1.【法律】《中华人民共和国行政许可法》（2019年中华人民共和国主席令第29号修正）第七十二条   行政机关及其工作人员违反本法的规定，有下列情形之一的，由其上级行政机关或者监察机关责令改正；情节严重的，对直接负责的主管人员和其他直接责任人员依法给予行政处分：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（一）对符合法定条件的行政许可申请不予受理的；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（二）不在办公场所公示依法应当公示的材料的；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（三）在受理、审查、决定行政许可过程中，未向申请人、利害关系人履行法定告知义务的；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（四）申请人提交的申请材料不齐全、不符合法定形式，不一次告知申请人必须补正的全部内容的；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（五）违法披露申请人提交的商业秘密、未披露信息或者保密商务信息的；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（六）以转让技术作为取得行政许可的条件，或者在实施行政许可的过程中直接或者间接地要求转让技术的；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（七）未依法说明不受理行政许可申请或者不予行政许可的理由的；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（八）依法应当举行听证而不举行听证的。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2.【法律】《中华人民共和国行政许可法》（2019年中华人民共和国主席令第29号修正）　第七十四条   行政机关实施行政许可，有下列情形之一的，由其上级行政机关或者监察机关责令改正，对直接负责的主管人员和其他直接责任人员依法给予行政处分；构成犯罪的，依法追究刑事责任： （一）对不符合法定条件的申请人准予行政许可或者超越法定职权作出准予行政许可决定的； （二）对符合法定条件的申请人不予行政许可或者不在法定期限内作出准予行政许可决定的； （三）依法应当根据招标、拍卖结果或者考试成绩择优作出准予行政许可决定，未经招标、拍卖或者考试，或者不根据招标、拍卖结果或者考试成绩择优作出准予行政许可决定的。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3.同2。</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4.【法律】《中华人民共和国行政许可法》（2019年中华人民共和国主席令第29号修正）第七十七条   行政机关不依法履行监督职责或者监督不力，造成严重后果的，由其上级行政机关或者监察机关责令改正，对直接负责的主管人员和其他直接责任人员依法给予行政处分；构成犯罪的，依法追究刑事责任。    </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 xml:space="preserve">5.【法律】《中华人民共和国行政许可法》（2019年中华人民共和国主席令第29号修正）第七十三条   行政机关工作人员办理行政许可、实施监督检查，索取或者收受他人财物或者谋取其他利益，构成犯罪的，依法追究刑事责任；尚不构成犯罪的，依法给予行政处分。   </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8</w:t>
            </w:r>
          </w:p>
        </w:tc>
        <w:tc>
          <w:tcPr>
            <w:tcW w:w="56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行政检查</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对基层法律服务工作者的年度考核</w:t>
            </w:r>
          </w:p>
        </w:tc>
        <w:tc>
          <w:tcPr>
            <w:tcW w:w="567" w:type="dxa"/>
            <w:tcBorders>
              <w:top w:val="single" w:color="auto" w:sz="4" w:space="0"/>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5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r>
              <w:rPr>
                <w:rFonts w:hint="eastAsia" w:eastAsia="仿宋_GB2312" w:cs="仿宋_GB2312"/>
                <w:snapToGrid w:val="0"/>
                <w:color w:val="000000"/>
                <w:sz w:val="20"/>
                <w:szCs w:val="20"/>
                <w:lang w:eastAsia="zh-CN"/>
              </w:rPr>
              <w:t>城中区司法局</w:t>
            </w:r>
          </w:p>
        </w:tc>
        <w:tc>
          <w:tcPr>
            <w:tcW w:w="10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【部门规章】《基层法律服务工作者管理办法》（2000年司法部令第59号发布，2017年司法部令第137号修订）第四十条  设区的市级或者直辖市的区（县）司法行政机关应当对基层法律服务工作者进行年度考核。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对基层法律服务工作者进行年度考核的具体办法，由省、自治区、直辖市司法行政机关依据本办法和有关规定确定。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第四十一条  基层法律服务工作者参加年度考核，应当提交下列材料：（一）上年度执业情况和遵守职业道德、执业纪律情况的个人总结；（二）基层法律服务所出具的执业表现年度考核意见；（三）《基层法律服务工作者执业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第四十二条 基层法律服务工作者年度考核材料，由基层法律服务所报经所在地县级司法行政机关审查后报设区的市级司法行政机关审核，或者由基层法律服务所报所在地直辖市的区（县）司法行政机关审核。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第四十三条  设区的市级或者直辖市的区（县）司法行政机关在年度考核中，对有本办法第四十六条所列行为、尚未处理的基层法律服务工作者，按照本办法第四十六条至第四十八条的规定进行处理。</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第四十四条  县级司法行政机关或者直辖市的区（县）司法行政机关对基层法律服务工作者的日常执业活动和遵守职业道德、执业纪律的情况进行指导和监督，可以按照有关规定对基层法律服务工作者的执业情况进行检查，要求有关人员报告工作、说明情况、提交有关材料。司法所可以根据县级司法行政机关或者直辖市的区（县）司法行政机关要求，承担对基层法律服务工作者进行指导监督的具体工作。</w:t>
            </w:r>
          </w:p>
        </w:tc>
        <w:tc>
          <w:tcPr>
            <w:tcW w:w="138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1.受理阶段责任：公示依法应当提交的材料、需要提交的全部材料目录；说明解释的责任；是否当场受理或一次性告知补正材料；依法受理或不予受理（不予受理应当告知理由）。</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2.审核阶段责任：在收到基层法律服务工作者提交的申请材料后，于30个工作日内完成审核。</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3.决定阶段责任：考核合格的，做出考核合格决定。考核不合格，给予1-6个月暂缓整改期，整改期满仍不能通过考核的，注销其法律服务工作执业证资格。</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4.送达阶段责任：将加盖公章年审合格证书发放至申请人。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5.监管环节责任：考核后对其从事基层法律服务工作进行定期检查。</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6.其他法律法规规章文件规定应履行的责任。</w:t>
            </w:r>
          </w:p>
        </w:tc>
        <w:tc>
          <w:tcPr>
            <w:tcW w:w="1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1-1. 【法律】《中华人民共和国行政许可法》（2019年中华人民共和国主席令第29号修正）第三十条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1-2. 【法律】《中华人民共和国行政许可法》（2019年中华人民共和国主席令第29号修正）第三十二条   行政机关对申请人提出的行政许可申请，应当根据下列情况分别作出处理： （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2.同1，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 【法律】《中华人民共和国行政许可法》（2019年中华人民共和国主席令第29号修正）第三十四条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 第三十七条 行政机关对行政许可申请进行审查后，除当场作出行政许可决定的外，应当在法定期限内按照规定程序作出行政许可决定。</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4-1. 【法律】《中华人民共和国行政许可法》（2019年中华人民共和国主席令第29号修正）第四十四条  行政机关作出准予行政许可的决定，应当自作出决定之日起十日内向申请人颁发、送达行政许可证件，或者加贴标签、加盖检验、检测、检疫印章。</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4-2. 【法律】《中华人民共和国行政许可法》（2019年中华人民共和国主席令第29号修正）第四十条   行政机关作出的准予行政许可决定，应当予以公开，公众有权查阅。第四十三条依法应当先经下级行政机关审查后报上级行政机关决定的行政许可，下级行政机关应当自其受理行政许可申请之日起二十日内审查完毕。但是，法律、法规另有规定的，依照其规定。</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5. 【法律】《中华人民共和国行政许可法》（2019年中华人民共和国主席令第29号修正）第六十一条  行政机关应当建立健全监督制度，通过核查反映被许可人从事行政许可事项活动情况的有关材料，履行监督责任。行政机关依法对被许可人从事行政许可事项的活动进行监督检查时，应当将监督检查的情况和处理结果予以记录，由监督检查人员签字后归档。公众有权查阅行政机关监督检查记录。行政机关应当创造条件，实现与被许可人、其他有关行政机关的计算机档案系统互联，核查被许可人从事行政许可事项活动情况。第六十二条行政机关可以对被许可人生产经营的产品依法进行抽样检查、检验、检测，对其生产经营场所依法进行实地检查。检查时，行政机关可以依法查阅或者要求被许可人报送有关材料；被许可人应当如实提供有关情况和材料。行政机关根据法律、行政法规的规定，对直接关系公共安全、人身健康、生命财产安全的重要设备、设施进行定期检验。对检验合格的，行政机关应当发给相应的证明文件。第六十三条 行政机关实施监督检查，不得妨碍被许可人正常的生产经营活动，不得索取或者收受被许可人的财物，不得谋取其他利益。</w:t>
            </w:r>
          </w:p>
        </w:tc>
        <w:tc>
          <w:tcPr>
            <w:tcW w:w="1533"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因不履行或不正确履行行政职责，有下列情形的，行政机关及相关工作人员应承担相应责任：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1.不履行法定职责对应当校验而不予校验的。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2.在年度考核过程中发生腐败行为的。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3.超过法定权限或者给予不具备规定条件的基层法律服务所通过考核的。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4.拒绝或者拖延履行法定职责，无故刁难行政相对人，造成不良影响的。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5.索取、收受贿赂的。</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6.其他违反法律法规规章文件规定的行为。</w:t>
            </w:r>
          </w:p>
        </w:tc>
        <w:tc>
          <w:tcPr>
            <w:tcW w:w="155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1.【法律】《中华人民共和国行政许可法》（2019年中华人民共和国主席令第29号修正）第七十二条   行政机关及其工作人员违反本法的规定，有下列情形之一的，由其上级行政机关或者监察机关责令改正；情节严重的，对直接负责的主管人员和其他直接责任人员依法给予行政处分：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（一）对符合法定条件的行政许可申请不予受理的；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（二）不在办公场所公示依法应当公示的材料的；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（三）在受理、审查、决定行政许可过程中，未向申请人、利害关系人履行法定告知义务的；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（四）申请人提交的申请材料不齐全、不符合法定形式，不一次告知申请人必须补正的全部内容的；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（五）违法披露申请人提交的商业秘密、未披露信息或者保密商务信息的；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（六）以转让技术作为取得行政许可的条件，或者在实施行政许可的过程中直接或者间接地要求转让技术的；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（七）未依法说明不受理行政许可申请或者不予行政许可的理由的；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（八）依法应当举行听证而不举行听证的。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2.【法律】《中华人民共和国行政许可法》（2019年中华人民共和国主席令第29号修正）　第七十四条   行政机关实施行政许可，有下列情形之一的，由其上级行政机关或者监察机关责令改正，对直接负责的主管人员和其他直接责任人员依法给予行政处分；构成犯罪的，依法追究刑事责任： （一）对不符合法定条件的申请人准予行政许可或者超越法定职权作出准予行政许可决定的； （二）对符合法定条件的申请人不予行政许可或者不在法定期限内作出准予行政许可决定的； （三）依法应当根据招标、拍卖结果或者考试成绩择优作出准予行政许可决定，未经招标、拍卖或者考试，或者不根据招标、拍卖结果或者考试成绩择优作出准予行政许可决定的。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3.同2。</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4.【法律】《中华人民共和国行政许可法》（2019年中华人民共和国主席令第29号修正）第七十七条   行政机关不依法履行监督职责或者监督不力，造成严重后果的，由其上级行政机关或者监察机关责令改正，对直接负责的主管人员和其他直接责任人员依法给予行政处分；构成犯罪的，依法追究刑事责任。    </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 xml:space="preserve">5.【法律】《中华人民共和国行政许可法》（2019年中华人民共和国主席令第29号修正）第七十三条   行政机关工作人员办理行政许可、实施监督检查，索取或者收受他人财物或者谋取其他利益，构成犯罪的，依法追究刑事责任；尚不构成犯罪的，依法给予行政处分。   </w:t>
            </w: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tcPr>
          <w:p>
            <w:pPr>
              <w:adjustRightInd w:val="0"/>
              <w:snapToGrid w:val="0"/>
              <w:spacing w:line="260" w:lineRule="exact"/>
              <w:rPr>
                <w:rFonts w:ascii="方正书宋_GBK" w:hAnsi="宋体" w:eastAsia="方正书宋_GBK" w:cs="宋体"/>
                <w:color w:val="000000"/>
                <w:kern w:val="0"/>
                <w:sz w:val="20"/>
                <w:szCs w:val="20"/>
              </w:rPr>
            </w:pPr>
          </w:p>
        </w:tc>
      </w:tr>
      <w:tr>
        <w:tblPrEx>
          <w:tblCellMar>
            <w:top w:w="28" w:type="dxa"/>
            <w:left w:w="28" w:type="dxa"/>
            <w:bottom w:w="28" w:type="dxa"/>
            <w:right w:w="28" w:type="dxa"/>
          </w:tblCellMar>
        </w:tblPrEx>
        <w:trPr>
          <w:trHeight w:val="2199" w:hRule="atLeast"/>
          <w:jc w:val="center"/>
        </w:trPr>
        <w:tc>
          <w:tcPr>
            <w:tcW w:w="324" w:type="dxa"/>
            <w:vMerge w:val="restart"/>
            <w:tcBorders>
              <w:top w:val="single" w:color="auto" w:sz="4" w:space="0"/>
              <w:left w:val="single" w:color="auto" w:sz="4" w:space="0"/>
              <w:right w:val="single" w:color="auto" w:sz="4" w:space="0"/>
            </w:tcBorders>
            <w:vAlign w:val="center"/>
          </w:tcPr>
          <w:p>
            <w:pPr>
              <w:adjustRightInd w:val="0"/>
              <w:snapToGrid w:val="0"/>
              <w:spacing w:line="260" w:lineRule="exact"/>
              <w:jc w:val="center"/>
              <w:rPr>
                <w:rFonts w:hint="default" w:ascii="方正书宋_GBK" w:hAnsi="宋体" w:eastAsia="方正书宋_GBK" w:cs="宋体"/>
                <w:color w:val="000000"/>
                <w:kern w:val="0"/>
                <w:sz w:val="20"/>
                <w:szCs w:val="20"/>
                <w:lang w:val="en-US" w:eastAsia="zh-CN"/>
              </w:rPr>
            </w:pPr>
            <w:r>
              <w:rPr>
                <w:rFonts w:hint="eastAsia" w:ascii="方正书宋_GBK" w:hAnsi="宋体" w:eastAsia="方正书宋_GBK" w:cs="宋体"/>
                <w:color w:val="000000"/>
                <w:kern w:val="0"/>
                <w:sz w:val="20"/>
                <w:szCs w:val="20"/>
                <w:lang w:val="en-US" w:eastAsia="zh-CN"/>
              </w:rPr>
              <w:t>9</w:t>
            </w:r>
          </w:p>
        </w:tc>
        <w:tc>
          <w:tcPr>
            <w:tcW w:w="561" w:type="dxa"/>
            <w:vMerge w:val="restart"/>
            <w:tcBorders>
              <w:top w:val="single" w:color="auto" w:sz="4" w:space="0"/>
              <w:left w:val="nil"/>
              <w:right w:val="single" w:color="auto" w:sz="4" w:space="0"/>
            </w:tcBorders>
            <w:vAlign w:val="center"/>
          </w:tcPr>
          <w:p>
            <w:pPr>
              <w:widowControl/>
              <w:adjustRightInd w:val="0"/>
              <w:snapToGrid w:val="0"/>
              <w:spacing w:line="300" w:lineRule="exact"/>
              <w:jc w:val="center"/>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其他行政权力</w:t>
            </w:r>
          </w:p>
        </w:tc>
        <w:tc>
          <w:tcPr>
            <w:tcW w:w="567" w:type="dxa"/>
            <w:vMerge w:val="restart"/>
            <w:tcBorders>
              <w:top w:val="single" w:color="auto" w:sz="4" w:space="0"/>
              <w:left w:val="nil"/>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基层法律服务所变更、注销核准</w:t>
            </w: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1.基层法律服务所变更核准</w:t>
            </w:r>
          </w:p>
        </w:tc>
        <w:tc>
          <w:tcPr>
            <w:tcW w:w="552" w:type="dxa"/>
            <w:vMerge w:val="restart"/>
            <w:tcBorders>
              <w:top w:val="single" w:color="auto" w:sz="4" w:space="0"/>
              <w:left w:val="nil"/>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lang w:eastAsia="zh-CN"/>
              </w:rPr>
            </w:pPr>
            <w:bookmarkStart w:id="0" w:name="_GoBack"/>
            <w:r>
              <w:rPr>
                <w:rFonts w:hint="eastAsia" w:eastAsia="仿宋_GB2312" w:cs="仿宋_GB2312"/>
                <w:snapToGrid w:val="0"/>
                <w:color w:val="000000"/>
                <w:sz w:val="20"/>
                <w:szCs w:val="20"/>
                <w:lang w:eastAsia="zh-CN"/>
              </w:rPr>
              <w:t>城中区司法局</w:t>
            </w:r>
            <w:bookmarkEnd w:id="0"/>
          </w:p>
        </w:tc>
        <w:tc>
          <w:tcPr>
            <w:tcW w:w="1050" w:type="dxa"/>
            <w:vMerge w:val="restart"/>
            <w:tcBorders>
              <w:top w:val="single" w:color="auto" w:sz="4" w:space="0"/>
              <w:left w:val="nil"/>
              <w:right w:val="single" w:color="auto" w:sz="4" w:space="0"/>
            </w:tcBorders>
            <w:vAlign w:val="center"/>
          </w:tcPr>
          <w:p>
            <w:pPr>
              <w:widowControl/>
              <w:adjustRightInd w:val="0"/>
              <w:snapToGrid w:val="0"/>
              <w:spacing w:line="300" w:lineRule="exact"/>
              <w:jc w:val="center"/>
              <w:rPr>
                <w:rFonts w:hint="eastAsia" w:ascii="方正书宋_GBK" w:hAnsi="宋体" w:eastAsia="方正书宋_GBK" w:cs="宋体"/>
                <w:color w:val="000000"/>
                <w:kern w:val="0"/>
                <w:sz w:val="20"/>
                <w:szCs w:val="20"/>
              </w:rPr>
            </w:pPr>
          </w:p>
        </w:tc>
        <w:tc>
          <w:tcPr>
            <w:tcW w:w="2133" w:type="dxa"/>
            <w:vMerge w:val="restart"/>
            <w:tcBorders>
              <w:top w:val="single" w:color="auto" w:sz="4" w:space="0"/>
              <w:left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【部门规章】《基层法律服务所管理办法》（2000年司法部令第59号发布，2017年司法部令第137号修订）第十条  基层法律服务所变更名称、法定代表人或者负责人、合伙人、住所和修改章程的，应当由所在地县级司法行政机关审查同意后报设区的市级司法行政机关批准，或者由直辖市的区（县）司法行政机关批准。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第十一条  基层法律服务所有下列情形之一的，应当终止：（一）不符合本办法第七条规定的基层法律服务所应当具备的条件，经限期整改仍不符合相关规定的；（二）停办或者决定解散的；（三）法律、行政法规规定应当终止的其他情形。基层法律服务所无正当理由停止业务活动满一年的，视为自行停办、解散，应当终止；</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第十二条  基层法律服务所在终止事由发生后，应当向社会公告，按照有关规定进行清算，并不得受理新的业务。基层法律服务所应当在清算结束后十五日内，经所在地县级司法行政机关审查后报设区的市级司法行政机关办理注销手续，或者由直辖市的区（县）司法行政机关办理注销手续。基层法律服务所拒不履行公告、清算义务的，可以由县级司法行政机关向社会公告后报设区的市级司法行政机关办理注销手续，或者由直辖市的区（县）司法行政机关向社会公告后办理注销手续。</w:t>
            </w:r>
          </w:p>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386" w:type="dxa"/>
            <w:vMerge w:val="restart"/>
            <w:tcBorders>
              <w:top w:val="single" w:color="auto" w:sz="4" w:space="0"/>
              <w:left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1.受理责任：公示应当提交的材料；一次性告知补正材料；依法受理或不予受理（不予受理应当告知理由）。</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2.审查责任：按照政策规定对书面材料进行审查，提出是否同意审批的初步意见，告知申请人、利害相关人享有听证权利；涉及公共利益的重大许可，向社会公告，并举行听证。</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3.决定责任：报分管领导作出决定；按时办结。</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4.送达责任：制发证件，送达当事人。</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5.事后监管环节责任：对审批后的相关事宜实施监督管理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6.其他法律法规规章文件规定应履行的责任。</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567" w:type="dxa"/>
            <w:vMerge w:val="restart"/>
            <w:tcBorders>
              <w:top w:val="single" w:color="auto" w:sz="4" w:space="0"/>
              <w:left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1.【法律】《中华人民共和国行政许可法》（2019年中华人民共和国主席令第29号修正）第三十条  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2-1.【法律】《中华人民共和国行政许可法》（2019年中华人民共和国主席令第29号修正）第三十二条 行政机关对申请人提出的行政许可申请，应当根据下列情况分别作出处理：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（一）申请事项依法不需要取得行政许可的，应当即时告知申请人不受理；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（二）申请事项依法不属于本行政机关职权范围的，应当即时作出不予受理的决定，并告知申请人向有关行政机关申请；</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（三）申请材料存在可以当场更正的错误的，应当允许申请人当场更正；</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（四）申请材料不齐全或者不符合法定形式的，应当当场或者在五日内一次告知申请人需要补正的全部内容，逾期不告知的，自收到申请材料之日起即为受理；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（五）申请事项属于本行政机关职权范围，申请材料齐全、符合法定形式，或者申请人按照本行政机关的要求提交全部补正申请材料的，应当受理行政许可申请。</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行政机关受理或者不予受理行政许可申请，应当出具加盖本行政机关专用印章和注明日期的书面凭证。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2-2.【法律】《中华人民共和国行政许可法》（2019年中华人民共和国主席令第29号修正）第三十四条 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3.《基层法律服务所管理办法》（2000年司法部令第59号发布，2017年司法部令第137号修订）第十条  基层法律服务所变更名称、法定代表人或者负责人、合伙人、住所和修改章程的，应当由所在地县级司法行政机关审查同意后报设区的市级司法行政机关批准，或者由直辖市的区（县）司法行政机关批准。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第十一条  基层法律服务所有下列情形之一的，应当终止：（一）不符合本办法第七条规定的基层法律服务所应当具备的条件，经限期整改仍不符合相关规定的；（二）停办或者决定解散的；（三）法律、行政法规规定应当终止的其他情形。基层法律服务所无正当理由停止业务活动满一年的，视为自行停办、解散，应当终止；</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第十二条  基层法律服务所在终止事由发生后，应当向社会公告，按照有关规定进行清算，并不得受理新的业务。基层法律服务所应当在清算结束后十五日内，经所在地县级司法行政机关审查后报设区的市级司法行政机关办理注销手续，或者由直辖市的区（县）司法行政机关办理注销手续。基层法律服务所拒不履行公告、清算义务的，可以由县级司法行政机关向社会公告后报设区的市级司法行政机关办理注销手续，或者由直辖市的区（县）司法行政机关向社会公告后办理注销手续。</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4.【法律】《中华人民共和国行政许可法》（2019年中华人民共和国主席令第29号修正）第四十四条  行政机关作出准予行政许可的决定，应当自作出决定之日起十日内向申请人颁发、送达行政许可证件，或者加贴标签、加盖检验、检测、检疫印章。第四十条　行政机关作出的准予行政许可决定，应当予以公开，公众有权查阅。</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5.【部门规章】《基层法律服务所管理办法》（2000年司法部令第59号发布，2017年司法部令第137号修订）第二十九条  设区的市级或者直辖市的区（县）司法行政机关应当每年对基层法律服务所进行年度考核。</w:t>
            </w:r>
          </w:p>
          <w:p>
            <w:pPr>
              <w:adjustRightInd w:val="0"/>
              <w:snapToGrid w:val="0"/>
              <w:spacing w:line="260" w:lineRule="exact"/>
              <w:jc w:val="both"/>
              <w:rPr>
                <w:rFonts w:hint="eastAsia" w:ascii="方正书宋_GBK" w:hAnsi="宋体" w:eastAsia="方正书宋_GBK" w:cs="宋体"/>
                <w:color w:val="000000"/>
                <w:kern w:val="0"/>
                <w:sz w:val="20"/>
                <w:szCs w:val="20"/>
              </w:rPr>
            </w:pPr>
          </w:p>
        </w:tc>
        <w:tc>
          <w:tcPr>
            <w:tcW w:w="1533" w:type="dxa"/>
            <w:vMerge w:val="restart"/>
            <w:tcBorders>
              <w:top w:val="single" w:color="auto" w:sz="4" w:space="0"/>
              <w:left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因不履行或不正确履行行政职责，有下列情形的行政机关及相关工作人员应承担相应的责任：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1.对符合法定条件的申请人不予受理、许可的；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2.对不符合有关法律法规的申请人予以审核同意的；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3.未严格审查申报材料，造成纠纷的；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4.其他违反法律法规规定的行为。</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550" w:type="dxa"/>
            <w:vMerge w:val="restart"/>
            <w:tcBorders>
              <w:top w:val="single" w:color="auto" w:sz="4" w:space="0"/>
              <w:left w:val="nil"/>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1.【法律】《中华人民共和国行政许可法》（2019年中华人民共和国主席令第29号修正）第七十二条 行政机关及其工作人员违反本法的规定，有下列情形之一的，由其上级行政机关或者监察机关责令改正；情节严重的，对直接负责的主管人员和其他直接责任人员依法给予行政处分：</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（一）对符合法定条件的行政许可申请不予受理的；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（二）不在办公场所公示依法应当公示的材料的；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（三）在受理、审查、决定行政许可过程中，未向申请人、利害关系人履行法定告知义务的；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（四）申请人提交的申请材料不齐全、不符合法定形式，不一次告知申请人必须补正的全部内容的；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（五）违法披露申请人提交的商业秘密、未披露信息或者保密商务信息的；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（六）以转让技术作为取得行政许可的条件，或者在实施行政许可的过程中直接或者间接地要求转让技术的；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（七）未依法说明不受理行政许可申请或者不予行政许可的理由的；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（八）依法应当举行听证而不举行听证的。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2.同1.</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3.【法律】《中华人民共和国行政许可法》（2019年中华人民共和国主席令第29号修正） 第七十三条 行政机关工作人员办理行政许可、实施监督检查，索取或者收受他人财物或者谋取其他利益，构成犯罪的，依法追究刑事责任；尚不构成犯罪的，依法给予行政处分   ，</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4.【法律】《中华人民共和国行政许可法》（2019年中华人民共和国主席令第29号修正） 第七十四条 行政机关实施行政许可，有下列情形之一的，由其上级行政机关或者监察机关责令改正，对直接负责的主管人员和其他直接责任人员依法给予行政处分；构成犯罪的，依法追究刑事责任：</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（一）对不符合法定条件的申请人准予行政许可或者超越法定职权作出准予行政许可决定的；</w:t>
            </w:r>
          </w:p>
          <w:p>
            <w:pPr>
              <w:widowControl/>
              <w:adjustRightInd w:val="0"/>
              <w:snapToGrid w:val="0"/>
              <w:spacing w:line="300" w:lineRule="exact"/>
              <w:ind w:firstLine="400" w:firstLineChars="200"/>
              <w:rPr>
                <w:rFonts w:hint="eastAsia" w:eastAsia="仿宋_GB2312" w:cs="仿宋_GB2312"/>
                <w:snapToGrid w:val="0"/>
                <w:color w:val="000000"/>
                <w:sz w:val="20"/>
                <w:szCs w:val="20"/>
              </w:rPr>
            </w:pPr>
            <w:r>
              <w:rPr>
                <w:rFonts w:hint="eastAsia" w:eastAsia="仿宋_GB2312" w:cs="仿宋_GB2312"/>
                <w:snapToGrid w:val="0"/>
                <w:color w:val="000000"/>
                <w:sz w:val="20"/>
                <w:szCs w:val="20"/>
              </w:rPr>
              <w:t xml:space="preserve">   （二）对符合法定条件的申请人不予行政许可或者不在法定期限内作出准予行政许可决定的；</w:t>
            </w:r>
          </w:p>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 xml:space="preserve">   （三）依法应当根据招标、拍卖结果或者考试成绩择优作出准予行政许可决定，未经招标、拍卖或者考试，或者不根据招标、拍卖结果或者考试成绩择优作出准予行政许可决定的   。</w:t>
            </w:r>
          </w:p>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r>
      <w:tr>
        <w:tblPrEx>
          <w:tblCellMar>
            <w:top w:w="28" w:type="dxa"/>
            <w:left w:w="28" w:type="dxa"/>
            <w:bottom w:w="28" w:type="dxa"/>
            <w:right w:w="28" w:type="dxa"/>
          </w:tblCellMar>
        </w:tblPrEx>
        <w:trPr>
          <w:trHeight w:val="2199" w:hRule="atLeast"/>
          <w:jc w:val="center"/>
        </w:trPr>
        <w:tc>
          <w:tcPr>
            <w:tcW w:w="324" w:type="dxa"/>
            <w:vMerge w:val="continue"/>
            <w:tcBorders>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lang w:val="en-US" w:eastAsia="zh-CN"/>
              </w:rPr>
            </w:pPr>
          </w:p>
        </w:tc>
        <w:tc>
          <w:tcPr>
            <w:tcW w:w="561"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67"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567"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z w:val="20"/>
                <w:szCs w:val="20"/>
              </w:rPr>
              <w:t>2.基层法律服务所注销核准</w:t>
            </w:r>
          </w:p>
        </w:tc>
        <w:tc>
          <w:tcPr>
            <w:tcW w:w="552"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050"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2133"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386" w:type="dxa"/>
            <w:vMerge w:val="continue"/>
            <w:tcBorders>
              <w:left w:val="single" w:color="auto" w:sz="4" w:space="0"/>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567"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533"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550" w:type="dxa"/>
            <w:vMerge w:val="continue"/>
            <w:tcBorders>
              <w:left w:val="nil"/>
              <w:bottom w:val="single" w:color="auto" w:sz="4" w:space="0"/>
              <w:right w:val="single" w:color="auto" w:sz="4" w:space="0"/>
            </w:tcBorders>
            <w:vAlign w:val="center"/>
          </w:tcPr>
          <w:p>
            <w:pPr>
              <w:adjustRightInd w:val="0"/>
              <w:snapToGrid w:val="0"/>
              <w:spacing w:line="260" w:lineRule="exact"/>
              <w:jc w:val="center"/>
              <w:rPr>
                <w:rFonts w:hint="eastAsia" w:ascii="方正书宋_GBK" w:hAnsi="宋体" w:eastAsia="方正书宋_GBK" w:cs="宋体"/>
                <w:color w:val="000000"/>
                <w:kern w:val="0"/>
                <w:sz w:val="20"/>
                <w:szCs w:val="20"/>
              </w:rPr>
            </w:pPr>
          </w:p>
        </w:tc>
        <w:tc>
          <w:tcPr>
            <w:tcW w:w="147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392" w:firstLineChars="200"/>
              <w:rPr>
                <w:rFonts w:hint="eastAsia" w:eastAsia="仿宋_GB2312" w:cs="仿宋_GB2312" w:asciiTheme="minorHAnsi" w:hAnsiTheme="minorHAnsi"/>
                <w:snapToGrid w:val="0"/>
                <w:color w:val="000000"/>
                <w:kern w:val="2"/>
                <w:sz w:val="20"/>
                <w:szCs w:val="20"/>
                <w:lang w:val="en-US" w:eastAsia="zh-CN" w:bidi="ar-SA"/>
              </w:rPr>
            </w:pPr>
            <w:r>
              <w:rPr>
                <w:rFonts w:hint="eastAsia" w:eastAsia="仿宋_GB2312" w:cs="仿宋_GB2312"/>
                <w:snapToGrid w:val="0"/>
                <w:color w:val="000000"/>
                <w:spacing w:val="-2"/>
                <w:sz w:val="20"/>
                <w:szCs w:val="20"/>
              </w:rPr>
              <w:t>有关法律法规规章文件规定的免责。</w:t>
            </w:r>
          </w:p>
        </w:tc>
        <w:tc>
          <w:tcPr>
            <w:tcW w:w="60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ind w:firstLine="400" w:firstLineChars="200"/>
              <w:rPr>
                <w:rFonts w:hint="eastAsia" w:eastAsia="仿宋_GB2312" w:cs="仿宋_GB2312" w:asciiTheme="minorHAnsi" w:hAnsiTheme="minorHAnsi"/>
                <w:snapToGrid w:val="0"/>
                <w:color w:val="000000"/>
                <w:kern w:val="2"/>
                <w:sz w:val="20"/>
                <w:szCs w:val="20"/>
                <w:lang w:val="en-US" w:eastAsia="zh-CN" w:bidi="ar-SA"/>
              </w:rPr>
            </w:pPr>
          </w:p>
        </w:tc>
      </w:tr>
    </w:tbl>
    <w:p>
      <w:pPr>
        <w:pStyle w:val="6"/>
        <w:ind w:firstLine="0" w:firstLineChars="0"/>
        <w:jc w:val="left"/>
        <w:rPr>
          <w:rFonts w:ascii="Times New Roman" w:hAnsi="Times New Roman" w:eastAsia="仿宋_GB2312" w:cs="仿宋_GB2312"/>
          <w:sz w:val="32"/>
          <w:szCs w:val="32"/>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2000000000000000000"/>
    <w:charset w:val="86"/>
    <w:family w:val="script"/>
    <w:pitch w:val="default"/>
    <w:sig w:usb0="00000000" w:usb1="00000000" w:usb2="00000000" w:usb3="00000000" w:csb0="00040000" w:csb1="00000000"/>
  </w:font>
  <w:font w:name="方正书宋_GBK">
    <w:altName w:val="微软雅黑"/>
    <w:panose1 w:val="02000000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C5324"/>
    <w:rsid w:val="06D03D10"/>
    <w:rsid w:val="104F3B50"/>
    <w:rsid w:val="13EC5324"/>
    <w:rsid w:val="1F114054"/>
    <w:rsid w:val="23D32FD3"/>
    <w:rsid w:val="3D997DD2"/>
    <w:rsid w:val="403E6975"/>
    <w:rsid w:val="41FD2DA2"/>
    <w:rsid w:val="52CD11C4"/>
    <w:rsid w:val="5C3F72F9"/>
    <w:rsid w:val="6F1A6102"/>
    <w:rsid w:val="73630C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2023-02-22T03:35:00Z</dcterms:created>
  <dc:creator>PC</dc:creator>
  <cp:lastModifiedBy>PC</cp:lastModifiedBy>
  <dcterms:modified xsi:type="dcterms:W3CDTF">2023-02-22T09:33:14Z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03D4D738EEBC44C49B527B6D8C9E830B</vt:lpwstr>
  </property>
</Properties>
</file>