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wordWrap/>
        <w:adjustRightInd/>
        <w:snapToGrid/>
        <w:spacing w:beforeAutospacing="0" w:afterAutospacing="0"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度城中区本级政府决算</w:t>
      </w:r>
    </w:p>
    <w:p>
      <w:pPr>
        <w:pStyle w:val="4"/>
        <w:wordWrap/>
        <w:adjustRightInd/>
        <w:snapToGrid/>
        <w:spacing w:beforeAutospacing="0" w:afterAutospacing="0"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情况说明</w:t>
      </w:r>
      <w:bookmarkStart w:id="0" w:name="_GoBack"/>
      <w:bookmarkEnd w:id="0"/>
    </w:p>
    <w:p>
      <w:pPr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2021年受新冠肺炎疫情冲击和国家实施大规模留抵退税政策叠加影响，我区组织财政收入工作面临极大压力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财政部门贯彻落实积极的财政政策，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大力培植财源，为城区各项工作提供财力保障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城中区政府牢固树立过紧日子思想，厉行节约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，做到财政支出有保有压，重点领域精准保障。</w:t>
      </w:r>
      <w:r>
        <w:rPr>
          <w:rFonts w:hint="eastAsia" w:ascii="仿宋_GB2312" w:hAnsi="仿宋_GB2312" w:eastAsia="仿宋_GB2312" w:cs="仿宋_GB2312"/>
          <w:sz w:val="32"/>
          <w:szCs w:val="32"/>
        </w:rPr>
        <w:t>圆满完成年初预算任务，现对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</w:rPr>
        <w:t>城中区本级政府财政决算情况说明如下：</w:t>
      </w:r>
    </w:p>
    <w:p>
      <w:pPr>
        <w:pStyle w:val="4"/>
        <w:wordWrap/>
        <w:adjustRightInd/>
        <w:snapToGrid/>
        <w:spacing w:beforeAutospacing="0" w:afterAutospacing="0"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一、财政收入决算情况</w:t>
      </w:r>
    </w:p>
    <w:p>
      <w:pPr>
        <w:shd w:val="clear" w:color="030000" w:fill="auto"/>
        <w:wordWrap/>
        <w:adjustRightInd/>
        <w:snapToGrid/>
        <w:spacing w:line="560" w:lineRule="exact"/>
        <w:ind w:left="0" w:leftChars="0" w:right="0" w:firstLine="31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2021年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区本级一般公共预算收入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144131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同比增长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5.58%</w:t>
      </w:r>
      <w:r>
        <w:rPr>
          <w:rFonts w:hint="eastAsia" w:ascii="仿宋_GB2312" w:hAnsi="仿宋_GB2312" w:eastAsia="仿宋_GB2312" w:cs="仿宋_GB2312"/>
          <w:sz w:val="32"/>
          <w:szCs w:val="32"/>
        </w:rPr>
        <w:t>，其中：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公共预算收入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90128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比上年增长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公共预算收入构成为：①税收收入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81437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万元。其中：增值税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22025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%；企业所得税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10615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%；个人所得税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3716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%；城市维护建设税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8123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房产税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17161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%；印花税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6651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车船税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13169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%。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FF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②非税收入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8691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万元。其中：专项收入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3445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%；行政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事业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性收费收入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3265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%；罚没收入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%；国有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资源（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有偿使用收入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1143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捐赠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1667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转移性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45737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比上年下降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%。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（三）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动用预算稳定调节基金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8266万元。</w:t>
      </w:r>
    </w:p>
    <w:p>
      <w:pPr>
        <w:pStyle w:val="4"/>
        <w:wordWrap/>
        <w:adjustRightInd/>
        <w:snapToGrid/>
        <w:spacing w:beforeAutospacing="0" w:afterAutospacing="0"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二、财政支出决算情况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区本级一般公共预算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140490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完成预算调整数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100%，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同比增长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1.10%。</w:t>
      </w:r>
    </w:p>
    <w:p>
      <w:pPr>
        <w:widowControl w:val="0"/>
        <w:wordWrap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（一）一般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公共预算支出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122123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比上年下降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。具体构成为：一般公共服务支出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14183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31%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国防支出49万元；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公共安全支出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5377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%；教育支出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49922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%；科学技术支出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1064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%；文化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旅游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体育与传媒支出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%；社会保障和就业支出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17486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卫生健康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7695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%；节能环保支出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589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445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%；城乡社区支出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14473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%；农林水支出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791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交通运输支出105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资源勘探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信息等支出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金融支出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2133万元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356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；自然资源海洋气象等支出156万元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住房保障支出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4591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%；灾害防治及应急管理支出814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268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%。</w:t>
      </w:r>
    </w:p>
    <w:p>
      <w:pPr>
        <w:widowControl w:val="0"/>
        <w:wordWrap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17417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比上年增长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（三）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安排预算稳定调节基金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950万元。</w:t>
      </w:r>
    </w:p>
    <w:p>
      <w:pPr>
        <w:shd w:val="clear" w:color="030000" w:fill="auto"/>
        <w:wordWrap/>
        <w:adjustRightInd/>
        <w:snapToGrid/>
        <w:spacing w:line="560" w:lineRule="exact"/>
        <w:ind w:left="0" w:leftChars="0" w:right="0" w:firstLine="3168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三、区本级财政收支平衡情况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年区本级财政总收入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135865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动用预算稳定调节基金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8266万元，减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区本级财政总支出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139540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，减安排预算稳定调节基金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950万元，总收入和总支出相抵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年终结余3641万元，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结转下年继续使用的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上级转移支付，无净结余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hd w:val="clear" w:color="030000" w:fill="auto"/>
        <w:wordWrap/>
        <w:adjustRightInd/>
        <w:snapToGrid/>
        <w:spacing w:line="560" w:lineRule="exact"/>
        <w:ind w:left="0" w:leftChars="0" w:right="0" w:firstLine="3168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四、政府性基金收支情况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政府性基金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1863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比上年下降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84%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，其中：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转移性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1863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FF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政府性基金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1546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87%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，具体构成为：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文化旅游体育与传媒支出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48万元；社会保障和就业支出36万元；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城乡社区支出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1280万元；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t xml:space="preserve"> 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政府性基金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收入与政府性基金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支出收支相抵，年终结余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317万元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numPr>
          <w:ilvl w:val="0"/>
          <w:numId w:val="1"/>
        </w:numPr>
        <w:shd w:val="clear" w:color="040000" w:fill="auto"/>
        <w:wordWrap/>
        <w:adjustRightInd/>
        <w:snapToGrid/>
        <w:spacing w:line="560" w:lineRule="exact"/>
        <w:ind w:left="0" w:leftChars="0" w:right="0" w:firstLine="31680" w:firstLineChars="168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国有资本经营收支情况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国有资本经营预算收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117万元，其中：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国有资本经营预算转移支付收入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万元，国有资本经营预算上年结余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国有资本经营预算支出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48万元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。年终结余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69万元。</w:t>
      </w:r>
    </w:p>
    <w:p>
      <w:pPr>
        <w:numPr>
          <w:numId w:val="0"/>
        </w:numPr>
        <w:shd w:val="clear" w:color="040000" w:fill="auto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</w:rPr>
        <w:t>社会保险基金收支情况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社会保险基金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11373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万元，其中：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城乡居民基本养老保险基金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676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，机关事业单位基本养老保险基金收入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10697万元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社会保险基金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10627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万元，具体构成为：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城乡居民基本养老保险基金支出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366万元；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机关事业单位基本养老保险基金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支出10261万元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。 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社会保险基金收入与社会保险基金支出收支相抵，本年结余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746万元，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历年滚存结余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8477万元，全区社会保险基金运行平稳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shd w:val="clear" w:color="030000" w:fill="auto"/>
        <w:wordWrap/>
        <w:adjustRightInd/>
        <w:snapToGrid/>
        <w:spacing w:line="560" w:lineRule="exact"/>
        <w:ind w:left="0" w:leftChars="0" w:right="0" w:firstLine="31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sectPr>
      <w:headerReference r:id="rId4" w:type="default"/>
      <w:footerReference r:id="rId5" w:type="default"/>
      <w:pgSz w:w="11906" w:h="16838"/>
      <w:pgMar w:top="1984" w:right="1587" w:bottom="1417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8553748">
    <w:nsid w:val="57885A14"/>
    <w:multiLevelType w:val="singleLevel"/>
    <w:tmpl w:val="57885A14"/>
    <w:lvl w:ilvl="0" w:tentative="1">
      <w:start w:val="5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4685537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B2640"/>
    <w:rsid w:val="000000E9"/>
    <w:rsid w:val="000678A9"/>
    <w:rsid w:val="00082965"/>
    <w:rsid w:val="00095C59"/>
    <w:rsid w:val="00164294"/>
    <w:rsid w:val="001A0A2D"/>
    <w:rsid w:val="001A5EEC"/>
    <w:rsid w:val="002152C1"/>
    <w:rsid w:val="00252CD7"/>
    <w:rsid w:val="00275E95"/>
    <w:rsid w:val="002A6A1E"/>
    <w:rsid w:val="00392570"/>
    <w:rsid w:val="003A1A60"/>
    <w:rsid w:val="003C7B83"/>
    <w:rsid w:val="00415E87"/>
    <w:rsid w:val="004544B8"/>
    <w:rsid w:val="00495DF5"/>
    <w:rsid w:val="004E14A5"/>
    <w:rsid w:val="00505C7E"/>
    <w:rsid w:val="0051593A"/>
    <w:rsid w:val="005B2640"/>
    <w:rsid w:val="005C5BB1"/>
    <w:rsid w:val="00604EDF"/>
    <w:rsid w:val="006B3E6F"/>
    <w:rsid w:val="006C682A"/>
    <w:rsid w:val="006E33A1"/>
    <w:rsid w:val="00715AC5"/>
    <w:rsid w:val="00747630"/>
    <w:rsid w:val="007C7178"/>
    <w:rsid w:val="007E7587"/>
    <w:rsid w:val="00822771"/>
    <w:rsid w:val="00827D80"/>
    <w:rsid w:val="00831E27"/>
    <w:rsid w:val="008827A3"/>
    <w:rsid w:val="008F76B6"/>
    <w:rsid w:val="009039A9"/>
    <w:rsid w:val="00944518"/>
    <w:rsid w:val="009A3C08"/>
    <w:rsid w:val="00A70BB8"/>
    <w:rsid w:val="00AC3336"/>
    <w:rsid w:val="00AD508F"/>
    <w:rsid w:val="00B0048D"/>
    <w:rsid w:val="00BA5E61"/>
    <w:rsid w:val="00BB168D"/>
    <w:rsid w:val="00BD3F54"/>
    <w:rsid w:val="00CE7064"/>
    <w:rsid w:val="00D00497"/>
    <w:rsid w:val="00D01C06"/>
    <w:rsid w:val="00D05AE6"/>
    <w:rsid w:val="00D32EC0"/>
    <w:rsid w:val="00DF4A92"/>
    <w:rsid w:val="00E03499"/>
    <w:rsid w:val="00E66061"/>
    <w:rsid w:val="00E96CCF"/>
    <w:rsid w:val="00F0106A"/>
    <w:rsid w:val="00F06366"/>
    <w:rsid w:val="00F12540"/>
    <w:rsid w:val="00F51C13"/>
    <w:rsid w:val="00F877FA"/>
    <w:rsid w:val="00FA3C20"/>
    <w:rsid w:val="00FC735C"/>
    <w:rsid w:val="042B7C03"/>
    <w:rsid w:val="04D253F8"/>
    <w:rsid w:val="05405A2B"/>
    <w:rsid w:val="054A633B"/>
    <w:rsid w:val="05B35D60"/>
    <w:rsid w:val="06B30644"/>
    <w:rsid w:val="07E76C04"/>
    <w:rsid w:val="08426019"/>
    <w:rsid w:val="08E1671C"/>
    <w:rsid w:val="096C2005"/>
    <w:rsid w:val="0BD107F3"/>
    <w:rsid w:val="0F20343E"/>
    <w:rsid w:val="0F966908"/>
    <w:rsid w:val="0FCD487B"/>
    <w:rsid w:val="11550E7F"/>
    <w:rsid w:val="118B5AD6"/>
    <w:rsid w:val="11D35ECA"/>
    <w:rsid w:val="11FD2592"/>
    <w:rsid w:val="126976C2"/>
    <w:rsid w:val="12A44024"/>
    <w:rsid w:val="137D3D07"/>
    <w:rsid w:val="14BC3207"/>
    <w:rsid w:val="15A52C0D"/>
    <w:rsid w:val="162A486A"/>
    <w:rsid w:val="16473EBD"/>
    <w:rsid w:val="173F6931"/>
    <w:rsid w:val="17672074"/>
    <w:rsid w:val="17E75E45"/>
    <w:rsid w:val="1BE31B4D"/>
    <w:rsid w:val="1D1B15FD"/>
    <w:rsid w:val="1D446291"/>
    <w:rsid w:val="1D7F7370"/>
    <w:rsid w:val="1E7C1811"/>
    <w:rsid w:val="1EA529D6"/>
    <w:rsid w:val="1F94485C"/>
    <w:rsid w:val="21686E80"/>
    <w:rsid w:val="22AB6FED"/>
    <w:rsid w:val="232F5ED2"/>
    <w:rsid w:val="2364201F"/>
    <w:rsid w:val="24A86E33"/>
    <w:rsid w:val="29B23078"/>
    <w:rsid w:val="2A2C74BF"/>
    <w:rsid w:val="2A8B2D5C"/>
    <w:rsid w:val="2A9F19FC"/>
    <w:rsid w:val="2B7042D3"/>
    <w:rsid w:val="2D4F12E5"/>
    <w:rsid w:val="2E9118F2"/>
    <w:rsid w:val="2F89790B"/>
    <w:rsid w:val="30276510"/>
    <w:rsid w:val="3073530A"/>
    <w:rsid w:val="3088782E"/>
    <w:rsid w:val="30FF0771"/>
    <w:rsid w:val="32381773"/>
    <w:rsid w:val="327D69E4"/>
    <w:rsid w:val="329E1117"/>
    <w:rsid w:val="32E64D8F"/>
    <w:rsid w:val="33E94141"/>
    <w:rsid w:val="348722BC"/>
    <w:rsid w:val="35006703"/>
    <w:rsid w:val="354748F9"/>
    <w:rsid w:val="356928AF"/>
    <w:rsid w:val="361851C4"/>
    <w:rsid w:val="3699519F"/>
    <w:rsid w:val="373B27AA"/>
    <w:rsid w:val="382F433C"/>
    <w:rsid w:val="39A62C24"/>
    <w:rsid w:val="3A127D55"/>
    <w:rsid w:val="3A8D769E"/>
    <w:rsid w:val="3B5A356F"/>
    <w:rsid w:val="3BB74FFC"/>
    <w:rsid w:val="3D201BD6"/>
    <w:rsid w:val="3F572AFA"/>
    <w:rsid w:val="400D1324"/>
    <w:rsid w:val="404A3387"/>
    <w:rsid w:val="40F14E1A"/>
    <w:rsid w:val="41554B3E"/>
    <w:rsid w:val="42521D16"/>
    <w:rsid w:val="42831D2D"/>
    <w:rsid w:val="42EA29D6"/>
    <w:rsid w:val="4330314B"/>
    <w:rsid w:val="43461A6B"/>
    <w:rsid w:val="43602615"/>
    <w:rsid w:val="43D32954"/>
    <w:rsid w:val="442D64E6"/>
    <w:rsid w:val="444333D9"/>
    <w:rsid w:val="44D74780"/>
    <w:rsid w:val="467D74A9"/>
    <w:rsid w:val="46A301CB"/>
    <w:rsid w:val="48226466"/>
    <w:rsid w:val="487D32FD"/>
    <w:rsid w:val="48EA5EAF"/>
    <w:rsid w:val="48F467BF"/>
    <w:rsid w:val="4941303B"/>
    <w:rsid w:val="49750012"/>
    <w:rsid w:val="49CD3F23"/>
    <w:rsid w:val="4AC666BA"/>
    <w:rsid w:val="4AD25D50"/>
    <w:rsid w:val="4AF53986"/>
    <w:rsid w:val="4CD3679A"/>
    <w:rsid w:val="4E8251DC"/>
    <w:rsid w:val="50343DC7"/>
    <w:rsid w:val="508B3032"/>
    <w:rsid w:val="513C2E56"/>
    <w:rsid w:val="51B30516"/>
    <w:rsid w:val="523D047A"/>
    <w:rsid w:val="53844015"/>
    <w:rsid w:val="54702E55"/>
    <w:rsid w:val="553C7AE3"/>
    <w:rsid w:val="5604752C"/>
    <w:rsid w:val="56987D9F"/>
    <w:rsid w:val="570603D3"/>
    <w:rsid w:val="5728768E"/>
    <w:rsid w:val="57374425"/>
    <w:rsid w:val="579447BF"/>
    <w:rsid w:val="57C16588"/>
    <w:rsid w:val="583F13D4"/>
    <w:rsid w:val="58EA72EF"/>
    <w:rsid w:val="592C4346"/>
    <w:rsid w:val="594A2B8C"/>
    <w:rsid w:val="59DE0E81"/>
    <w:rsid w:val="5A4C14B5"/>
    <w:rsid w:val="5E3D2395"/>
    <w:rsid w:val="5E731884"/>
    <w:rsid w:val="5E9814AB"/>
    <w:rsid w:val="5ECC5796"/>
    <w:rsid w:val="5FE01DDB"/>
    <w:rsid w:val="60DE0679"/>
    <w:rsid w:val="60E2707F"/>
    <w:rsid w:val="60F63B21"/>
    <w:rsid w:val="611046CB"/>
    <w:rsid w:val="61146955"/>
    <w:rsid w:val="620B1931"/>
    <w:rsid w:val="626D4608"/>
    <w:rsid w:val="63257EC6"/>
    <w:rsid w:val="63A62580"/>
    <w:rsid w:val="6614798D"/>
    <w:rsid w:val="67FD1DAB"/>
    <w:rsid w:val="681D485E"/>
    <w:rsid w:val="68621ACF"/>
    <w:rsid w:val="69842EAC"/>
    <w:rsid w:val="6A1D77EA"/>
    <w:rsid w:val="6D8B4F45"/>
    <w:rsid w:val="6EE51CFE"/>
    <w:rsid w:val="6F4833D9"/>
    <w:rsid w:val="6F5E6145"/>
    <w:rsid w:val="706C4FFD"/>
    <w:rsid w:val="70B213B7"/>
    <w:rsid w:val="714F0E73"/>
    <w:rsid w:val="718722D2"/>
    <w:rsid w:val="718E1C5D"/>
    <w:rsid w:val="744978D7"/>
    <w:rsid w:val="74884E3D"/>
    <w:rsid w:val="759926FC"/>
    <w:rsid w:val="776E44A2"/>
    <w:rsid w:val="7782001E"/>
    <w:rsid w:val="782F723D"/>
    <w:rsid w:val="789C1DEF"/>
    <w:rsid w:val="78C054A7"/>
    <w:rsid w:val="79153628"/>
    <w:rsid w:val="79753CD1"/>
    <w:rsid w:val="79B73FF9"/>
    <w:rsid w:val="7A6413DB"/>
    <w:rsid w:val="7B960493"/>
    <w:rsid w:val="7BA529FF"/>
    <w:rsid w:val="7C9064ED"/>
    <w:rsid w:val="7DAB46BB"/>
    <w:rsid w:val="7E78058B"/>
    <w:rsid w:val="7ECA128F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0" w:name="Normal Indent" w:locked="1"/>
    <w:lsdException w:uiPriority="0" w:name="footnote text" w:locked="1"/>
    <w:lsdException w:uiPriority="0" w:name="annotation text" w:locked="1"/>
    <w:lsdException w:uiPriority="0" w:semiHidden="0" w:name="header" w:locked="1"/>
    <w:lsdException w:uiPriority="0" w:semiHidden="0" w:name="footer" w:locked="1"/>
    <w:lsdException w:uiPriority="0" w:name="index heading" w:locked="1"/>
    <w:lsdException w:qFormat="1" w:uiPriority="0" w:name="caption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iPriority="0" w:name="page number" w:locked="1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0" w:semiHidden="0" w:name="Title"/>
    <w:lsdException w:uiPriority="0" w:name="Closing" w:locked="1"/>
    <w:lsdException w:uiPriority="0" w:name="Signature" w:locked="1"/>
    <w:lsdException w:unhideWhenUsed="0" w:uiPriority="99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0" w:semiHidden="0" w:name="Subtitle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iPriority="0" w:name="Hyperlink" w:locked="1"/>
    <w:lsdException w:uiPriority="0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0" w:name="Document Map" w:locked="1"/>
    <w:lsdException w:uiPriority="0" w:name="Plain Text" w:locked="1"/>
    <w:lsdException w:uiPriority="0" w:name="E-mail Signature" w:locked="1"/>
    <w:lsdException w:unhideWhenUsed="0" w:uiPriority="99" w:semiHidden="0" w:name="Normal (Web)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semiHidden="0" w:name="Normal Table"/>
    <w:lsdException w:uiPriority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iPriority="0" w:name="Balloon Text" w:locked="1"/>
    <w:lsdException w:unhideWhenUsed="0" w:uiPriority="0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lock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lock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apple-converted-space"/>
    <w:basedOn w:val="5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306</Words>
  <Characters>1746</Characters>
  <Lines>0</Lines>
  <Paragraphs>0</Paragraphs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2020-07-01T03:06:00Z</cp:lastPrinted>
  <dcterms:modified xsi:type="dcterms:W3CDTF">2022-07-29T02:17:31Z</dcterms:modified>
  <dc:title>2016年度城中区本级政府决算情况说明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