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jc w:val="center"/>
        <w:outlineLvl w:val="0"/>
        <w:rPr>
          <w:rFonts w:eastAsia="方正小标宋简体" w:cs="方正小标宋简体"/>
          <w:snapToGrid w:val="0"/>
          <w:color w:val="000000" w:themeColor="text1"/>
          <w:sz w:val="44"/>
          <w:szCs w:val="44"/>
          <w14:textFill>
            <w14:solidFill>
              <w14:schemeClr w14:val="tx1"/>
            </w14:solidFill>
          </w14:textFill>
        </w:rPr>
      </w:pPr>
      <w:bookmarkStart w:id="0" w:name="_GoBack"/>
      <w:r>
        <w:rPr>
          <w:rFonts w:hint="eastAsia" w:eastAsia="方正小标宋简体" w:cs="方正小标宋简体"/>
          <w:snapToGrid w:val="0"/>
          <w:color w:val="000000" w:themeColor="text1"/>
          <w:sz w:val="44"/>
          <w:szCs w:val="44"/>
          <w14:textFill>
            <w14:solidFill>
              <w14:schemeClr w14:val="tx1"/>
            </w14:solidFill>
          </w14:textFill>
        </w:rPr>
        <w:t>柳州</w:t>
      </w:r>
      <w:r>
        <w:rPr>
          <w:rFonts w:hint="eastAsia" w:eastAsia="方正小标宋简体" w:cs="方正小标宋简体"/>
          <w:snapToGrid w:val="0"/>
          <w:color w:val="000000" w:themeColor="text1"/>
          <w:sz w:val="44"/>
          <w:szCs w:val="44"/>
          <w:lang w:eastAsia="zh-CN"/>
          <w14:textFill>
            <w14:solidFill>
              <w14:schemeClr w14:val="tx1"/>
            </w14:solidFill>
          </w14:textFill>
        </w:rPr>
        <w:t>市城中区</w:t>
      </w:r>
      <w:r>
        <w:rPr>
          <w:rFonts w:eastAsia="方正小标宋简体" w:cs="方正小标宋简体"/>
          <w:snapToGrid w:val="0"/>
          <w:color w:val="000000" w:themeColor="text1"/>
          <w:sz w:val="44"/>
          <w:szCs w:val="44"/>
          <w14:textFill>
            <w14:solidFill>
              <w14:schemeClr w14:val="tx1"/>
            </w14:solidFill>
          </w14:textFill>
        </w:rPr>
        <w:t>工业和信息化</w:t>
      </w:r>
      <w:r>
        <w:rPr>
          <w:rFonts w:hint="eastAsia" w:eastAsia="方正小标宋简体" w:cs="方正小标宋简体"/>
          <w:snapToGrid w:val="0"/>
          <w:color w:val="000000" w:themeColor="text1"/>
          <w:sz w:val="44"/>
          <w:szCs w:val="44"/>
          <w:lang w:eastAsia="zh-CN"/>
          <w14:textFill>
            <w14:solidFill>
              <w14:schemeClr w14:val="tx1"/>
            </w14:solidFill>
          </w14:textFill>
        </w:rPr>
        <w:t>局</w:t>
      </w:r>
      <w:r>
        <w:rPr>
          <w:rFonts w:eastAsia="方正小标宋简体" w:cs="方正小标宋简体"/>
          <w:snapToGrid w:val="0"/>
          <w:color w:val="000000" w:themeColor="text1"/>
          <w:sz w:val="44"/>
          <w:szCs w:val="44"/>
          <w14:textFill>
            <w14:solidFill>
              <w14:schemeClr w14:val="tx1"/>
            </w14:solidFill>
          </w14:textFill>
        </w:rPr>
        <w:t>权责清单</w:t>
      </w:r>
    </w:p>
    <w:bookmarkEnd w:id="0"/>
    <w:p>
      <w:pPr>
        <w:adjustRightInd w:val="0"/>
        <w:snapToGrid w:val="0"/>
        <w:spacing w:line="570" w:lineRule="exact"/>
        <w:jc w:val="center"/>
        <w:outlineLvl w:val="0"/>
        <w:rPr>
          <w:rFonts w:eastAsia="方正小标宋简体" w:cs="方正小标宋简体"/>
          <w:snapToGrid w:val="0"/>
          <w:color w:val="000000" w:themeColor="text1"/>
          <w:sz w:val="44"/>
          <w:szCs w:val="44"/>
          <w14:textFill>
            <w14:solidFill>
              <w14:schemeClr w14:val="tx1"/>
            </w14:solidFill>
          </w14:textFill>
        </w:rPr>
      </w:pPr>
    </w:p>
    <w:tbl>
      <w:tblPr>
        <w:tblStyle w:val="4"/>
        <w:tblW w:w="22362" w:type="dxa"/>
        <w:jc w:val="center"/>
        <w:tblLayout w:type="fixed"/>
        <w:tblCellMar>
          <w:top w:w="28" w:type="dxa"/>
          <w:left w:w="28" w:type="dxa"/>
          <w:bottom w:w="28" w:type="dxa"/>
          <w:right w:w="28" w:type="dxa"/>
        </w:tblCellMar>
      </w:tblPr>
      <w:tblGrid>
        <w:gridCol w:w="265"/>
        <w:gridCol w:w="871"/>
        <w:gridCol w:w="1245"/>
        <w:gridCol w:w="870"/>
        <w:gridCol w:w="885"/>
        <w:gridCol w:w="2175"/>
        <w:gridCol w:w="4455"/>
        <w:gridCol w:w="5690"/>
        <w:gridCol w:w="2670"/>
        <w:gridCol w:w="1635"/>
        <w:gridCol w:w="1170"/>
        <w:gridCol w:w="431"/>
      </w:tblGrid>
      <w:tr>
        <w:tblPrEx>
          <w:tblCellMar>
            <w:top w:w="28" w:type="dxa"/>
            <w:left w:w="28" w:type="dxa"/>
            <w:bottom w:w="28" w:type="dxa"/>
            <w:right w:w="28" w:type="dxa"/>
          </w:tblCellMar>
        </w:tblPrEx>
        <w:trPr>
          <w:cantSplit/>
          <w:trHeight w:val="318" w:hRule="atLeast"/>
          <w:tblHeader/>
          <w:jc w:val="center"/>
        </w:trPr>
        <w:tc>
          <w:tcPr>
            <w:tcW w:w="265"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r>
              <w:rPr>
                <w:rFonts w:hint="eastAsia" w:eastAsia="黑体" w:cs="黑体"/>
                <w:snapToGrid w:val="0"/>
                <w:color w:val="000000" w:themeColor="text1"/>
                <w:sz w:val="20"/>
                <w:szCs w:val="20"/>
                <w14:textFill>
                  <w14:solidFill>
                    <w14:schemeClr w14:val="tx1"/>
                  </w14:solidFill>
                </w14:textFill>
              </w:rPr>
              <w:t>序号</w:t>
            </w:r>
          </w:p>
        </w:tc>
        <w:tc>
          <w:tcPr>
            <w:tcW w:w="871"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r>
              <w:rPr>
                <w:rFonts w:hint="eastAsia" w:eastAsia="黑体" w:cs="黑体"/>
                <w:snapToGrid w:val="0"/>
                <w:color w:val="000000" w:themeColor="text1"/>
                <w:sz w:val="20"/>
                <w:szCs w:val="20"/>
                <w14:textFill>
                  <w14:solidFill>
                    <w14:schemeClr w14:val="tx1"/>
                  </w14:solidFill>
                </w14:textFill>
              </w:rPr>
              <w:t>权力分类</w:t>
            </w:r>
          </w:p>
        </w:tc>
        <w:tc>
          <w:tcPr>
            <w:tcW w:w="5175"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r>
              <w:rPr>
                <w:rFonts w:hint="eastAsia" w:eastAsia="黑体" w:cs="黑体"/>
                <w:snapToGrid w:val="0"/>
                <w:color w:val="000000" w:themeColor="text1"/>
                <w:sz w:val="20"/>
                <w:szCs w:val="20"/>
                <w14:textFill>
                  <w14:solidFill>
                    <w14:schemeClr w14:val="tx1"/>
                  </w14:solidFill>
                </w14:textFill>
              </w:rPr>
              <w:t>权力清单</w:t>
            </w:r>
          </w:p>
        </w:tc>
        <w:tc>
          <w:tcPr>
            <w:tcW w:w="16051" w:type="dxa"/>
            <w:gridSpan w:val="6"/>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r>
              <w:rPr>
                <w:rFonts w:hint="eastAsia" w:eastAsia="黑体" w:cs="黑体"/>
                <w:snapToGrid w:val="0"/>
                <w:color w:val="000000" w:themeColor="text1"/>
                <w:sz w:val="20"/>
                <w:szCs w:val="20"/>
                <w14:textFill>
                  <w14:solidFill>
                    <w14:schemeClr w14:val="tx1"/>
                  </w14:solidFill>
                </w14:textFill>
              </w:rPr>
              <w:t>责任清单</w:t>
            </w:r>
          </w:p>
        </w:tc>
      </w:tr>
      <w:tr>
        <w:tblPrEx>
          <w:tblCellMar>
            <w:top w:w="28" w:type="dxa"/>
            <w:left w:w="28" w:type="dxa"/>
            <w:bottom w:w="28" w:type="dxa"/>
            <w:right w:w="28" w:type="dxa"/>
          </w:tblCellMar>
        </w:tblPrEx>
        <w:trPr>
          <w:cantSplit/>
          <w:trHeight w:val="340" w:hRule="atLeast"/>
          <w:tblHeader/>
          <w:jc w:val="center"/>
        </w:trPr>
        <w:tc>
          <w:tcPr>
            <w:tcW w:w="265"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7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124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r>
              <w:rPr>
                <w:rFonts w:hint="eastAsia" w:eastAsia="黑体" w:cs="黑体"/>
                <w:snapToGrid w:val="0"/>
                <w:color w:val="000000" w:themeColor="text1"/>
                <w:sz w:val="20"/>
                <w:szCs w:val="20"/>
                <w14:textFill>
                  <w14:solidFill>
                    <w14:schemeClr w14:val="tx1"/>
                  </w14:solidFill>
                </w14:textFill>
              </w:rPr>
              <w:t>项目名称</w:t>
            </w:r>
          </w:p>
        </w:tc>
        <w:tc>
          <w:tcPr>
            <w:tcW w:w="87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r>
              <w:rPr>
                <w:rFonts w:hint="eastAsia" w:eastAsia="黑体" w:cs="黑体"/>
                <w:snapToGrid w:val="0"/>
                <w:color w:val="000000" w:themeColor="text1"/>
                <w:sz w:val="20"/>
                <w:szCs w:val="20"/>
                <w14:textFill>
                  <w14:solidFill>
                    <w14:schemeClr w14:val="tx1"/>
                  </w14:solidFill>
                </w14:textFill>
              </w:rPr>
              <w:t>子项名称</w:t>
            </w:r>
          </w:p>
        </w:tc>
        <w:tc>
          <w:tcPr>
            <w:tcW w:w="8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r>
              <w:rPr>
                <w:rFonts w:hint="eastAsia" w:eastAsia="黑体" w:cs="黑体"/>
                <w:snapToGrid w:val="0"/>
                <w:color w:val="000000" w:themeColor="text1"/>
                <w:sz w:val="20"/>
                <w:szCs w:val="20"/>
                <w14:textFill>
                  <w14:solidFill>
                    <w14:schemeClr w14:val="tx1"/>
                  </w14:solidFill>
                </w14:textFill>
              </w:rPr>
              <w:t>实施层级</w:t>
            </w:r>
          </w:p>
        </w:tc>
        <w:tc>
          <w:tcPr>
            <w:tcW w:w="217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r>
              <w:rPr>
                <w:rFonts w:hint="eastAsia" w:eastAsia="黑体" w:cs="黑体"/>
                <w:snapToGrid w:val="0"/>
                <w:color w:val="000000" w:themeColor="text1"/>
                <w:sz w:val="20"/>
                <w:szCs w:val="20"/>
                <w14:textFill>
                  <w14:solidFill>
                    <w14:schemeClr w14:val="tx1"/>
                  </w14:solidFill>
                </w14:textFill>
              </w:rPr>
              <w:t>设定依据</w:t>
            </w:r>
          </w:p>
        </w:tc>
        <w:tc>
          <w:tcPr>
            <w:tcW w:w="445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r>
              <w:rPr>
                <w:rFonts w:hint="eastAsia" w:eastAsia="黑体" w:cs="黑体"/>
                <w:snapToGrid w:val="0"/>
                <w:color w:val="000000" w:themeColor="text1"/>
                <w:sz w:val="20"/>
                <w:szCs w:val="20"/>
                <w14:textFill>
                  <w14:solidFill>
                    <w14:schemeClr w14:val="tx1"/>
                  </w14:solidFill>
                </w14:textFill>
              </w:rPr>
              <w:t>责任事项</w:t>
            </w:r>
          </w:p>
        </w:tc>
        <w:tc>
          <w:tcPr>
            <w:tcW w:w="569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r>
              <w:rPr>
                <w:rFonts w:hint="eastAsia" w:eastAsia="黑体" w:cs="黑体"/>
                <w:snapToGrid w:val="0"/>
                <w:color w:val="000000" w:themeColor="text1"/>
                <w:sz w:val="20"/>
                <w:szCs w:val="20"/>
                <w14:textFill>
                  <w14:solidFill>
                    <w14:schemeClr w14:val="tx1"/>
                  </w14:solidFill>
                </w14:textFill>
              </w:rPr>
              <w:t>责任事项依据</w:t>
            </w:r>
          </w:p>
        </w:tc>
        <w:tc>
          <w:tcPr>
            <w:tcW w:w="26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ascii="方正黑体_GBK" w:hAnsi="黑体" w:eastAsia="方正黑体_GBK" w:cs="宋体"/>
                <w:color w:val="000000"/>
                <w:kern w:val="0"/>
                <w:sz w:val="20"/>
                <w:szCs w:val="20"/>
              </w:rPr>
              <w:t>追责情形</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ascii="方正黑体_GBK" w:hAnsi="黑体" w:eastAsia="方正黑体_GBK" w:cs="宋体"/>
                <w:color w:val="000000"/>
                <w:kern w:val="0"/>
                <w:sz w:val="20"/>
                <w:szCs w:val="20"/>
              </w:rPr>
              <w:t>追责依据</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ascii="方正黑体_GBK" w:hAnsi="黑体" w:eastAsia="方正黑体_GBK" w:cs="宋体"/>
                <w:color w:val="000000"/>
                <w:kern w:val="0"/>
                <w:sz w:val="20"/>
                <w:szCs w:val="20"/>
              </w:rPr>
              <w:t>免责事项</w:t>
            </w:r>
          </w:p>
        </w:tc>
        <w:tc>
          <w:tcPr>
            <w:tcW w:w="431" w:type="dxa"/>
            <w:tcBorders>
              <w:top w:val="single" w:color="auto" w:sz="4" w:space="0"/>
              <w:left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黑体" w:cs="黑体"/>
                <w:snapToGrid w:val="0"/>
                <w:color w:val="000000" w:themeColor="text1"/>
                <w:sz w:val="20"/>
                <w:szCs w:val="20"/>
                <w14:textFill>
                  <w14:solidFill>
                    <w14:schemeClr w14:val="tx1"/>
                  </w14:solidFill>
                </w14:textFill>
              </w:rPr>
              <w:t>备注</w:t>
            </w:r>
          </w:p>
        </w:tc>
      </w:tr>
      <w:tr>
        <w:tblPrEx>
          <w:tblCellMar>
            <w:top w:w="28" w:type="dxa"/>
            <w:left w:w="28" w:type="dxa"/>
            <w:bottom w:w="28" w:type="dxa"/>
            <w:right w:w="28" w:type="dxa"/>
          </w:tblCellMar>
        </w:tblPrEx>
        <w:trPr>
          <w:cantSplit/>
          <w:trHeight w:val="11624" w:hRule="atLeast"/>
          <w:jc w:val="center"/>
        </w:trPr>
        <w:tc>
          <w:tcPr>
            <w:tcW w:w="2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r>
              <w:rPr>
                <w:rFonts w:hint="eastAsia" w:eastAsia="黑体" w:cs="黑体"/>
                <w:snapToGrid w:val="0"/>
                <w:color w:val="000000" w:themeColor="text1"/>
                <w:sz w:val="20"/>
                <w:szCs w:val="20"/>
                <w14:textFill>
                  <w14:solidFill>
                    <w14:schemeClr w14:val="tx1"/>
                  </w14:solidFill>
                </w14:textFill>
              </w:rPr>
              <w:t>1</w:t>
            </w:r>
          </w:p>
        </w:tc>
        <w:tc>
          <w:tcPr>
            <w:tcW w:w="8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行政许可</w:t>
            </w:r>
          </w:p>
        </w:tc>
        <w:tc>
          <w:tcPr>
            <w:tcW w:w="124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在电力设施周围或电力设施保护区内进行可能危及电力设施安全作业的审批</w:t>
            </w:r>
          </w:p>
        </w:tc>
        <w:tc>
          <w:tcPr>
            <w:tcW w:w="87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rPr>
                <w:rFonts w:eastAsia="黑体" w:cs="黑体"/>
                <w:snapToGrid w:val="0"/>
                <w:color w:val="000000" w:themeColor="text1"/>
                <w:sz w:val="20"/>
                <w:szCs w:val="20"/>
                <w14:textFill>
                  <w14:solidFill>
                    <w14:schemeClr w14:val="tx1"/>
                  </w14:solidFill>
                </w14:textFill>
              </w:rPr>
            </w:pPr>
          </w:p>
        </w:tc>
        <w:tc>
          <w:tcPr>
            <w:tcW w:w="8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rPr>
                <w:rFonts w:hint="eastAsia" w:eastAsia="仿宋_GB2312" w:cs="仿宋_GB2312"/>
                <w:snapToGrid w:val="0"/>
                <w:color w:val="000000" w:themeColor="text1"/>
                <w:sz w:val="20"/>
                <w:szCs w:val="20"/>
                <w:lang w:eastAsia="zh-CN"/>
                <w14:textFill>
                  <w14:solidFill>
                    <w14:schemeClr w14:val="tx1"/>
                  </w14:solidFill>
                </w14:textFill>
              </w:rPr>
            </w:pPr>
            <w:r>
              <w:rPr>
                <w:rFonts w:hint="eastAsia" w:eastAsia="仿宋_GB2312" w:cs="仿宋_GB2312"/>
                <w:snapToGrid w:val="0"/>
                <w:color w:val="000000" w:themeColor="text1"/>
                <w:sz w:val="20"/>
                <w:szCs w:val="20"/>
                <w:lang w:eastAsia="zh-CN"/>
                <w14:textFill>
                  <w14:solidFill>
                    <w14:schemeClr w14:val="tx1"/>
                  </w14:solidFill>
                </w14:textFill>
              </w:rPr>
              <w:t>柳州市城中区工业和信息化局</w:t>
            </w:r>
          </w:p>
        </w:tc>
        <w:tc>
          <w:tcPr>
            <w:tcW w:w="217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1.【法律】《中华人民共和国电力法》第五十二条第二款：在电力设施周围进行爆破及其他可能危及电力设施安全的作业的，应当按照国务院有关电力设施保护的规定，经批准并采取确保电力设施安全的措施后，方可进行作业。第五十四条：任何单位和个人需要在依法划定的电力设施保护区内进行可能危及电力设施安全的作业时，应当经电力管理部门批准并采取安全措施后，方可进行作业。</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2.【行政法规】《电力设施保护条例》（1987年9月15日国务院发布，2011年国务院令第588号修改）第十七条：任何单位或个人必须经批准，并采取安全措施后，方可进行下列作业或活动：（一）在架空电力线路保护区内进行农田水利基本建设工程及打桩、钻探、开挖等作业；（二）起重机械的任何部位进入架空电力线路保护区进行施工；（三）小于导线距穿越物体之间的安全距离，通过架空电力线路保护区；（四）在电力电缆线路保护区内进行作。</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3.【地方政府规章】《广西壮族自治区电力设施保护办法》（2011年广西壮族自治区人民政府令第71号）第二十一条：任何单位和个人在距电力设施外围水平距离500米范围内进行爆破作业的，应当征得电力设施产权人或者电力行政管理部门的书面同意，提出安全防护方案报经县级以上人民政府有关职能部门批准后方可作业；未经批准，任何单位和个人不得爆破作业。</w:t>
            </w:r>
          </w:p>
        </w:tc>
        <w:tc>
          <w:tcPr>
            <w:tcW w:w="445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1.受理责任：公示应当提交的材料，一次性告知补正材料，依法受理或不予受理。</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2.审查责任：审查申请材料，组织现场检查。</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3.决定责任：作出行政许可或者不予行政许可决定，法定告知。</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4.送达责任：准予许可的，制定许可证书或批件，送达并信息公开。</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5.监察责任：监理实施监督检查的运行机制和管理制度，开展定期和不定期检查，依法采取相关处置措施。</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6.其他法律法规规章文件规定应履行的责任。</w:t>
            </w:r>
          </w:p>
        </w:tc>
        <w:tc>
          <w:tcPr>
            <w:tcW w:w="569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1—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1—2.【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3.【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4.【法律】《中华人民共和国行政许可法》第四十四条：行政机关作出准予行政许可的决定，应当自作出决定之日起十日内向申请人颁发、送达行政许可证件，或者加贴标签、加盖检验、检测、检疫印章。</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5.【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26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因不履行或不正确履行行政职责，有下列情形的行政机关及相关工作人员应承担相应的责任：</w:t>
            </w:r>
          </w:p>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1.对符合法定条件的固定资产投资项目节能审查申请不予受理、许可的；</w:t>
            </w:r>
          </w:p>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2.对不符合有关法律法规的固定资产投资项目节能审查而予以审核同意的；</w:t>
            </w:r>
          </w:p>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3.未严格审查申报材料，造成纠纷或财产损失的；</w:t>
            </w:r>
          </w:p>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4.监管不力或怠于履行职责的；</w:t>
            </w:r>
          </w:p>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5.擅自增设、变更涉及固定资产投资项目节能审查的审查程序或核准条件的；</w:t>
            </w:r>
          </w:p>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6.在固定资产投资项目节能审查监管中滥用职权、玩忽职守、徇私舞弊，造成较大影响的；</w:t>
            </w:r>
          </w:p>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7.其他违反法律法规规定的行为。</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 xml:space="preserve">1.【法律】《中华人民共和国行政许可法》（2003年主席令第七号公布）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 </w:t>
            </w:r>
          </w:p>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2.【法律】《中华人民共和国行政许可法》（2003年主席令第七号公布）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 xml:space="preserve">3.【法规】《行政机关公务员处分条例》（国务院令第495号）第二十一条　有下列行为之一的，给予警告或者记过处分；情节较重的，给予记大过或者降级处分；情节严重的，给予撤职处分：（一）在行政许可工作中违反法定权限、条件和程序设定或者实施行政许可的；   </w:t>
            </w:r>
          </w:p>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4.《公务员法》第一百零四条 公务员主管部门的工作人员，违反本法规定，滥用职权、玩忽职守、徇私舞弊，构成犯罪的，依法追究刑事责任；尚不构成犯罪的，给予处分。</w:t>
            </w:r>
          </w:p>
          <w:p>
            <w:pPr>
              <w:widowControl/>
              <w:adjustRightInd w:val="0"/>
              <w:snapToGrid w:val="0"/>
              <w:spacing w:line="300" w:lineRule="exact"/>
              <w:jc w:val="center"/>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5.【法规】《行政机关公务员处分条例》（国务院令第495号）第二十三条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法律法规规定的免责情形以及市委、市政府有关文件中明确的免责情形。</w:t>
            </w:r>
          </w:p>
        </w:tc>
        <w:tc>
          <w:tcPr>
            <w:tcW w:w="4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r>
      <w:tr>
        <w:tblPrEx>
          <w:tblCellMar>
            <w:top w:w="28" w:type="dxa"/>
            <w:left w:w="28" w:type="dxa"/>
            <w:bottom w:w="28" w:type="dxa"/>
            <w:right w:w="28" w:type="dxa"/>
          </w:tblCellMar>
        </w:tblPrEx>
        <w:trPr>
          <w:trHeight w:val="12758" w:hRule="atLeast"/>
          <w:jc w:val="center"/>
        </w:trPr>
        <w:tc>
          <w:tcPr>
            <w:tcW w:w="2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黑体" w:cs="黑体"/>
                <w:snapToGrid w:val="0"/>
                <w:color w:val="000000" w:themeColor="text1"/>
                <w:sz w:val="20"/>
                <w:szCs w:val="20"/>
                <w:lang w:val="en-US" w:eastAsia="zh-CN"/>
                <w14:textFill>
                  <w14:solidFill>
                    <w14:schemeClr w14:val="tx1"/>
                  </w14:solidFill>
                </w14:textFill>
              </w:rPr>
            </w:pPr>
            <w:r>
              <w:rPr>
                <w:rFonts w:hint="eastAsia" w:eastAsia="黑体" w:cs="黑体"/>
                <w:snapToGrid w:val="0"/>
                <w:color w:val="000000" w:themeColor="text1"/>
                <w:sz w:val="20"/>
                <w:szCs w:val="20"/>
                <w:lang w:val="en-US" w:eastAsia="zh-CN"/>
                <w14:textFill>
                  <w14:solidFill>
                    <w14:schemeClr w14:val="tx1"/>
                  </w14:solidFill>
                </w14:textFill>
              </w:rPr>
              <w:t>2</w:t>
            </w:r>
          </w:p>
        </w:tc>
        <w:tc>
          <w:tcPr>
            <w:tcW w:w="8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行政检查</w:t>
            </w:r>
          </w:p>
        </w:tc>
        <w:tc>
          <w:tcPr>
            <w:tcW w:w="124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节能监察（监测）</w:t>
            </w:r>
          </w:p>
        </w:tc>
        <w:tc>
          <w:tcPr>
            <w:tcW w:w="87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lang w:eastAsia="zh-CN"/>
                <w14:textFill>
                  <w14:solidFill>
                    <w14:schemeClr w14:val="tx1"/>
                  </w14:solidFill>
                </w14:textFill>
              </w:rPr>
              <w:t>柳州市城中区工业和信息化局</w:t>
            </w:r>
          </w:p>
        </w:tc>
        <w:tc>
          <w:tcPr>
            <w:tcW w:w="217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1.【法律】《中华人民共和国节约能源法》第十二</w:t>
            </w:r>
            <w:r>
              <w:rPr>
                <w:rFonts w:hint="eastAsia" w:ascii="Times New Roman" w:hAnsi="Times New Roman" w:eastAsia="仿宋_GB2312" w:cs="仿宋_GB2312"/>
                <w:snapToGrid w:val="0"/>
                <w:color w:val="000000"/>
                <w:sz w:val="20"/>
                <w:szCs w:val="20"/>
                <w:lang w:eastAsia="zh-CN"/>
              </w:rPr>
              <w:t>条：</w:t>
            </w:r>
            <w:r>
              <w:rPr>
                <w:rFonts w:hint="eastAsia" w:ascii="Times New Roman" w:hAnsi="Times New Roman" w:eastAsia="仿宋_GB2312" w:cs="仿宋_GB2312"/>
                <w:snapToGrid w:val="0"/>
                <w:color w:val="000000"/>
                <w:sz w:val="20"/>
                <w:szCs w:val="20"/>
              </w:rPr>
              <w:t>县级以上人民政府管理节能工作的部门和有关部门应当在各自的职责范围内，加强对节能法律、法规和节能标准执行情况的监督检查，依法查处违法用能行为。</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2.【地方性法规】《广西壮族自治区实施〈中华人民共和国节约能源法〉办法》（2013年广西壮族自治区第十二届人民代表大会常务委员会公告第7号）第五</w:t>
            </w:r>
            <w:r>
              <w:rPr>
                <w:rFonts w:hint="eastAsia" w:ascii="Times New Roman" w:hAnsi="Times New Roman" w:eastAsia="仿宋_GB2312" w:cs="仿宋_GB2312"/>
                <w:snapToGrid w:val="0"/>
                <w:color w:val="000000"/>
                <w:sz w:val="20"/>
                <w:szCs w:val="20"/>
                <w:lang w:eastAsia="zh-CN"/>
              </w:rPr>
              <w:t>条：</w:t>
            </w:r>
            <w:r>
              <w:rPr>
                <w:rFonts w:hint="eastAsia" w:ascii="Times New Roman" w:hAnsi="Times New Roman" w:eastAsia="仿宋_GB2312" w:cs="仿宋_GB2312"/>
                <w:snapToGrid w:val="0"/>
                <w:color w:val="000000"/>
                <w:sz w:val="20"/>
                <w:szCs w:val="20"/>
              </w:rPr>
              <w:t>县级以上人民政府应当将节能工作纳入国民经济和社会发展规划，加强对节能工作的领导，部署、协调、监督、检查、推动节能工作。</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县级以上人民政府发展和改革部门综合协调本行政区域节能监督管理工作。工业和信息化、科学技术、住房和城乡建设、交通运输、农业、林业、质量技术监督等部门以及管理机关事务的机构在各自的职责范围内负责节能技术开发、推广和节能监督管理工作。</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县级以上人民政府发展和改革部门、各节能监督管理部门根据职责和工作需要，可以依法委托节能监察机构具体实施日常的节能监督管理工作。</w:t>
            </w:r>
          </w:p>
          <w:p>
            <w:pPr>
              <w:widowControl/>
              <w:adjustRightInd w:val="0"/>
              <w:snapToGrid w:val="0"/>
              <w:spacing w:line="300" w:lineRule="exact"/>
              <w:ind w:firstLine="400" w:firstLineChars="200"/>
              <w:rPr>
                <w:rFonts w:hint="eastAsia"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3.【部门规章】《工业节能管理办法》（2016年工业和信息化委员会令第33号）第十九</w:t>
            </w:r>
            <w:r>
              <w:rPr>
                <w:rFonts w:hint="eastAsia" w:ascii="Times New Roman" w:hAnsi="Times New Roman" w:eastAsia="仿宋_GB2312" w:cs="仿宋_GB2312"/>
                <w:snapToGrid w:val="0"/>
                <w:color w:val="000000"/>
                <w:sz w:val="20"/>
                <w:szCs w:val="20"/>
                <w:lang w:eastAsia="zh-CN"/>
              </w:rPr>
              <w:t>条：</w:t>
            </w:r>
            <w:r>
              <w:rPr>
                <w:rFonts w:hint="eastAsia" w:ascii="Times New Roman" w:hAnsi="Times New Roman" w:eastAsia="仿宋_GB2312" w:cs="仿宋_GB2312"/>
                <w:snapToGrid w:val="0"/>
                <w:color w:val="000000"/>
                <w:sz w:val="20"/>
                <w:szCs w:val="20"/>
              </w:rPr>
              <w:t>各级工业和信息化主管部门应当组织节能监察机构，对工业企业执行节能法律法规情况、强制性单位产品能耗限额及其他强制性节能标准贯彻执行情况、落后用能工艺技术设备（产品）淘汰情况、固定资产投资项目节能评估和审查意见落实情况、节能服务机构执行节能法律法规情况等开展节能监察。</w:t>
            </w:r>
          </w:p>
        </w:tc>
        <w:tc>
          <w:tcPr>
            <w:tcW w:w="445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1.选案阶段责任：根据举报或上级安排以及日常管理中发现的问题确定进行检查。</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2.检查阶段责任：检查应按有关程序进行，指定专人负责，及时组织调查取证，与当事人有直接利害关系的应当回避。检查人员不得少于两人，调查时应出示执法证件，允许当事人辩解陈述。检查人员应保守有关秘密。</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3.审查环节责任：对违法事实、证据资料、调查程序、法律适用、当事人陈述理由等进行审查，提出初步处理意见。</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4.告知环节责任：对违法事实、处理依据、处理意见告知，听取当事人陈述申辩。</w:t>
            </w:r>
          </w:p>
          <w:p>
            <w:pPr>
              <w:widowControl/>
              <w:adjustRightInd w:val="0"/>
              <w:snapToGrid w:val="0"/>
              <w:spacing w:line="300" w:lineRule="exact"/>
              <w:ind w:firstLine="400" w:firstLineChars="200"/>
              <w:rPr>
                <w:rFonts w:hint="eastAsia"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5.决定环节责任：根据违法事实以及当事人陈述意见作出处理决定，重大案件应组织集体审议。</w:t>
            </w:r>
          </w:p>
        </w:tc>
        <w:tc>
          <w:tcPr>
            <w:tcW w:w="569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1.【地方政府规章】《广西壮族自治区行政执法程序规定》（1997年广西壮族自治区人民政府令第13号）第三十</w:t>
            </w:r>
            <w:r>
              <w:rPr>
                <w:rFonts w:hint="eastAsia" w:ascii="Times New Roman" w:hAnsi="Times New Roman" w:eastAsia="仿宋_GB2312" w:cs="仿宋_GB2312"/>
                <w:snapToGrid w:val="0"/>
                <w:color w:val="000000"/>
                <w:sz w:val="20"/>
                <w:szCs w:val="20"/>
                <w:lang w:eastAsia="zh-CN"/>
              </w:rPr>
              <w:t>条：</w:t>
            </w:r>
            <w:r>
              <w:rPr>
                <w:rFonts w:hint="eastAsia" w:ascii="Times New Roman" w:hAnsi="Times New Roman" w:eastAsia="仿宋_GB2312" w:cs="仿宋_GB2312"/>
                <w:snapToGrid w:val="0"/>
                <w:color w:val="000000"/>
                <w:sz w:val="20"/>
                <w:szCs w:val="20"/>
              </w:rPr>
              <w:t>行政执法机关调查、收集证据应遵守下列规定：（一）调查、收集证据的行政执法人员应不少于两人；（二）调查、收集证据应制作调查笔录，笔录经被调查人核对无误后，由调查人和被调查人签名或者盖章，被调查人拒绝签名或者盖章的，由调查人在调查笔录上注明情况；（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四）涉及专门性问题的，应由法定部门鉴定。</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2.【地方政府规章】《广西壮族自治区行政执法程序规定》（1997年广西壮族自治区人民政府令第13号）第三十三</w:t>
            </w:r>
            <w:r>
              <w:rPr>
                <w:rFonts w:hint="eastAsia" w:ascii="Times New Roman" w:hAnsi="Times New Roman" w:eastAsia="仿宋_GB2312" w:cs="仿宋_GB2312"/>
                <w:snapToGrid w:val="0"/>
                <w:color w:val="000000"/>
                <w:sz w:val="20"/>
                <w:szCs w:val="20"/>
                <w:lang w:eastAsia="zh-CN"/>
              </w:rPr>
              <w:t>条：</w:t>
            </w:r>
            <w:r>
              <w:rPr>
                <w:rFonts w:hint="eastAsia" w:ascii="Times New Roman" w:hAnsi="Times New Roman" w:eastAsia="仿宋_GB2312" w:cs="仿宋_GB2312"/>
                <w:snapToGrid w:val="0"/>
                <w:color w:val="000000"/>
                <w:sz w:val="20"/>
                <w:szCs w:val="20"/>
              </w:rPr>
              <w:t>调查终结，办案人员应向所在行政执法机关提出调查报告和处理意见，并送本机关法制工作机构或本机关指定的其他机构进行审核；审核机构应在七日内审核完毕，连同审核意见一并报送本机关负责人进行审查，按下列规定分别处理（一）违法事实清楚，证据确凿，依法应受处罚的，根据情节轻重及具体情况，作出行政处罚决定；（二）没有违法事实或者违法行为轻微，依法不应追究法律责任的，作出撤销案件的决定；（三）证据不足的，应责令补充调查，补充调查应在退回之日起十日内结束，经补充调查，证据仍然不足的，作出撤销案件的决定。撤销案件依法应报上级行政机关批准的，经批准后予以撤销。接受委托办理的违法案件需要撤销的，应报告委托机关批准；（四）相对人的行为属于民事侵权行为的，告知被侵权人依法向人民法院起诉；（五）相对人的行为已触犯治安管理处罚条例或者已构成犯罪的，提请公安机关或移送司法机关依法处理。对情节复杂或者重大违法行为给予行政处罚的，行政执法机关负责人应当集体讨论决定。</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3.参照《行政处罚法》第四十</w:t>
            </w:r>
            <w:r>
              <w:rPr>
                <w:rFonts w:hint="eastAsia" w:ascii="Times New Roman" w:hAnsi="Times New Roman" w:eastAsia="仿宋_GB2312" w:cs="仿宋_GB2312"/>
                <w:snapToGrid w:val="0"/>
                <w:color w:val="000000"/>
                <w:sz w:val="20"/>
                <w:szCs w:val="20"/>
                <w:lang w:eastAsia="zh-CN"/>
              </w:rPr>
              <w:t>条：</w:t>
            </w:r>
            <w:r>
              <w:rPr>
                <w:rFonts w:hint="eastAsia" w:ascii="Times New Roman" w:hAnsi="Times New Roman" w:eastAsia="仿宋_GB2312" w:cs="仿宋_GB2312"/>
                <w:snapToGrid w:val="0"/>
                <w:color w:val="000000"/>
                <w:sz w:val="20"/>
                <w:szCs w:val="20"/>
              </w:rPr>
              <w:t>行政处罚决定书应当在宣告后当场交付当事人；当事人不在场的，行政机关应当在七日内依照民事诉讼法的有关规定，将行政处罚决定书送达当事人。</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4.【部门规章】《节能监察办法》（国家发展和改革委员会令2016年第33号）第十八</w:t>
            </w:r>
            <w:r>
              <w:rPr>
                <w:rFonts w:hint="eastAsia" w:ascii="Times New Roman" w:hAnsi="Times New Roman" w:eastAsia="仿宋_GB2312" w:cs="仿宋_GB2312"/>
                <w:snapToGrid w:val="0"/>
                <w:color w:val="000000"/>
                <w:sz w:val="20"/>
                <w:szCs w:val="20"/>
                <w:lang w:eastAsia="zh-CN"/>
              </w:rPr>
              <w:t>条：</w:t>
            </w:r>
            <w:r>
              <w:rPr>
                <w:rFonts w:hint="eastAsia" w:ascii="Times New Roman" w:hAnsi="Times New Roman" w:eastAsia="仿宋_GB2312" w:cs="仿宋_GB2312"/>
                <w:snapToGrid w:val="0"/>
                <w:color w:val="000000"/>
                <w:sz w:val="20"/>
                <w:szCs w:val="20"/>
              </w:rPr>
              <w:t>被监察单位有违反节能法律、法规、规章和强制性节能标准行为的，节能监察机构应当下达限期整改通知书。</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被监察单位有不合理用能行为，但尚未违反节能法律、法规、规章和强制性节能标准的，节能监察机构应当下达节能监察建议书，提出节能建议或者节能措施。</w:t>
            </w:r>
          </w:p>
          <w:p>
            <w:pPr>
              <w:widowControl/>
              <w:adjustRightInd w:val="0"/>
              <w:snapToGrid w:val="0"/>
              <w:spacing w:line="300" w:lineRule="exact"/>
              <w:ind w:firstLine="400" w:firstLineChars="200"/>
              <w:rPr>
                <w:rFonts w:hint="eastAsia"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节能监察机构在作出限期整改通知书前，应当充分听取被监察单位的意见，对被监察单位提出的事实、理由和证据应当进行复核。被监察单位提出的事实、理由和证据成立的，节能监察机构应当采纳。</w:t>
            </w:r>
          </w:p>
        </w:tc>
        <w:tc>
          <w:tcPr>
            <w:tcW w:w="26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因不履行或不正确履行行政职责，有下列情形的，行政机关及相关工作人员应承担相应责任：</w:t>
            </w:r>
          </w:p>
          <w:p>
            <w:pPr>
              <w:widowControl/>
              <w:adjustRightInd w:val="0"/>
              <w:snapToGrid w:val="0"/>
              <w:spacing w:line="300" w:lineRule="exact"/>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lang w:val="en-US" w:eastAsia="zh-CN"/>
              </w:rPr>
              <w:t xml:space="preserve">   </w:t>
            </w:r>
            <w:r>
              <w:rPr>
                <w:rFonts w:hint="eastAsia" w:ascii="Times New Roman" w:hAnsi="Times New Roman" w:eastAsia="仿宋_GB2312" w:cs="仿宋_GB2312"/>
                <w:snapToGrid w:val="0"/>
                <w:color w:val="000000"/>
                <w:sz w:val="20"/>
                <w:szCs w:val="20"/>
              </w:rPr>
              <w:t>1.不履行或不正确履行职责，对节能监察没有进行合法指导和监督的。</w:t>
            </w:r>
          </w:p>
          <w:p>
            <w:pPr>
              <w:widowControl/>
              <w:adjustRightInd w:val="0"/>
              <w:snapToGrid w:val="0"/>
              <w:spacing w:line="300" w:lineRule="exact"/>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lang w:val="en-US" w:eastAsia="zh-CN"/>
              </w:rPr>
              <w:t xml:space="preserve">   </w:t>
            </w:r>
            <w:r>
              <w:rPr>
                <w:rFonts w:hint="eastAsia" w:ascii="Times New Roman" w:hAnsi="Times New Roman" w:eastAsia="仿宋_GB2312" w:cs="仿宋_GB2312"/>
                <w:snapToGrid w:val="0"/>
                <w:color w:val="000000"/>
                <w:sz w:val="20"/>
                <w:szCs w:val="20"/>
              </w:rPr>
              <w:t>2.在监督检查中玩忽职守、徇私舞弊的。</w:t>
            </w:r>
          </w:p>
          <w:p>
            <w:pPr>
              <w:widowControl/>
              <w:adjustRightInd w:val="0"/>
              <w:snapToGrid w:val="0"/>
              <w:spacing w:line="300" w:lineRule="exact"/>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lang w:val="en-US" w:eastAsia="zh-CN"/>
              </w:rPr>
              <w:t xml:space="preserve">    </w:t>
            </w:r>
            <w:r>
              <w:rPr>
                <w:rFonts w:hint="eastAsia" w:ascii="Times New Roman" w:hAnsi="Times New Roman" w:eastAsia="仿宋_GB2312" w:cs="仿宋_GB2312"/>
                <w:snapToGrid w:val="0"/>
                <w:color w:val="000000"/>
                <w:sz w:val="20"/>
                <w:szCs w:val="20"/>
              </w:rPr>
              <w:t>3.在监督检查中滥用职权，谋取不正当利益和发生腐败行为的。</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4.其他违反法律法规规章文件规定的行为。</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法规】《行政机关公务员处分条例》（国务院令第495号）第二十条有下列行为之一的，给予记过、记大过处分；情节较重的，给予降级或者撤职处分；情节严重的，给予开除处分：（四）其他玩忽职守、贻误工作的行为。”</w:t>
            </w:r>
          </w:p>
          <w:p>
            <w:pPr>
              <w:widowControl/>
              <w:adjustRightInd w:val="0"/>
              <w:snapToGrid w:val="0"/>
              <w:spacing w:line="300" w:lineRule="exact"/>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2.同1.3.【法规】《行政机关公务员处分条例》（国务院令第495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r>
              <w:rPr>
                <w:rFonts w:hint="eastAsia" w:ascii="Times New Roman" w:hAnsi="Times New Roman" w:eastAsia="仿宋_GB2312" w:cs="仿宋_GB2312"/>
                <w:snapToGrid w:val="0"/>
                <w:color w:val="000000"/>
                <w:sz w:val="20"/>
                <w:szCs w:val="20"/>
                <w:lang w:val="en-US" w:eastAsia="zh-CN"/>
              </w:rPr>
              <w:t>.</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法律法规规定的免责情形以及市委、市政府有关文件中明确的免责情形。</w:t>
            </w:r>
          </w:p>
        </w:tc>
        <w:tc>
          <w:tcPr>
            <w:tcW w:w="4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r>
      <w:tr>
        <w:tblPrEx>
          <w:tblCellMar>
            <w:top w:w="28" w:type="dxa"/>
            <w:left w:w="28" w:type="dxa"/>
            <w:bottom w:w="28" w:type="dxa"/>
            <w:right w:w="28" w:type="dxa"/>
          </w:tblCellMar>
        </w:tblPrEx>
        <w:trPr>
          <w:trHeight w:val="12758" w:hRule="atLeast"/>
          <w:jc w:val="center"/>
        </w:trPr>
        <w:tc>
          <w:tcPr>
            <w:tcW w:w="2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黑体" w:cs="黑体"/>
                <w:snapToGrid w:val="0"/>
                <w:color w:val="000000" w:themeColor="text1"/>
                <w:sz w:val="20"/>
                <w:szCs w:val="20"/>
                <w:lang w:val="en-US" w:eastAsia="zh-CN"/>
                <w14:textFill>
                  <w14:solidFill>
                    <w14:schemeClr w14:val="tx1"/>
                  </w14:solidFill>
                </w14:textFill>
              </w:rPr>
            </w:pPr>
            <w:r>
              <w:rPr>
                <w:rFonts w:hint="eastAsia" w:eastAsia="黑体" w:cs="黑体"/>
                <w:snapToGrid w:val="0"/>
                <w:color w:val="000000" w:themeColor="text1"/>
                <w:sz w:val="20"/>
                <w:szCs w:val="20"/>
                <w:lang w:val="en-US" w:eastAsia="zh-CN"/>
                <w14:textFill>
                  <w14:solidFill>
                    <w14:schemeClr w14:val="tx1"/>
                  </w14:solidFill>
                </w14:textFill>
              </w:rPr>
              <w:t>3</w:t>
            </w:r>
          </w:p>
        </w:tc>
        <w:tc>
          <w:tcPr>
            <w:tcW w:w="8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行政强制</w:t>
            </w:r>
          </w:p>
        </w:tc>
        <w:tc>
          <w:tcPr>
            <w:tcW w:w="124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在电力设施周围或电力设施保护区内进行可能危及电力设施安全作业的强制</w:t>
            </w:r>
          </w:p>
        </w:tc>
        <w:tc>
          <w:tcPr>
            <w:tcW w:w="87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lang w:eastAsia="zh-CN"/>
                <w14:textFill>
                  <w14:solidFill>
                    <w14:schemeClr w14:val="tx1"/>
                  </w14:solidFill>
                </w14:textFill>
              </w:rPr>
              <w:t>柳州市城中区工业和信息化局</w:t>
            </w:r>
          </w:p>
        </w:tc>
        <w:tc>
          <w:tcPr>
            <w:tcW w:w="217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1.【法律】《中华人民共和国电力法》第五十二条第二款 在电力设施周围进行爆破及其他可能危及电力设施安全的作业的，应当按照国务院有关电力设施保护的规定，经批准并采取确保电力设施安全的措施后，方可进行作业。</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第五十四条：任何单位和个人需要在依法划定的电力设施保护区内进行可能危及电力设施安全的作业时，应当经电力管理部门批准并采取安全措施后，方可进行作业。</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第六十八条：违反本法第五十二条第二款和第五十四条规定，未经批准或者未采取安全措施在电力设施周围或者在依法划定的电力设施保护区内进行作业，危及电力设施安全的，由电力管理部门责令停止作业、恢复原状并赔偿损失。</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2.【行政法规】《电力设施保护条例》（1987年9月15日国务院发布，2011年国务院令第588号修订）第二十六条：违反本条例规定，未经批准或未采取安全措施，在电力设施周围或在依法划定的电力设施保护区内进行爆破或其他作业，危及电力设施安全的，由电力管理部门责令停止作业、恢复原状并赔偿损失。</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第二十七条：违反本条例规定，在依法划定的电力设施保护区内进行烧窑、烧荒、抛锚、拖锚、炸鱼、挖沙作业，危及电力设施安全的，由电力管理部门责令停止作业、恢复原状并赔偿损失。</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第六条：县以上地方各级电力管理部门保护电力设施的职责是：</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（一）监督、检查本条例及根据本条例制定的规章的贯彻执行；</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（二）开展保护电力设施的宣传教育工作；</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（三）会同有关部门及沿电力线路各单位，建立群众护线组织并健全责任制；</w:t>
            </w:r>
          </w:p>
          <w:p>
            <w:pPr>
              <w:adjustRightInd w:val="0"/>
              <w:snapToGrid w:val="0"/>
              <w:spacing w:line="300" w:lineRule="exact"/>
              <w:ind w:firstLine="390"/>
              <w:jc w:val="left"/>
              <w:rPr>
                <w:rFonts w:eastAsia="黑体" w:cs="黑体"/>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（四）会同当地公安部门，负责所辖地区电力设施的安全保卫工作。</w:t>
            </w:r>
          </w:p>
        </w:tc>
        <w:tc>
          <w:tcPr>
            <w:tcW w:w="445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1.立案责任：检查发现未经批准在电力设施周围或在依法划定的电力设施保护区内进行作业的，予以立案并责令停止作业。</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2.告知责任：告知当事人拟实施行政强制措施的决定及事实、理由或证据；当事人依法享有的陈诉权、申辩权。</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3.执行责任：依照生效的行政强制措施决定，对违法行为强制停止作业、恢复原状并赔偿损失。</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4.解除责任：及时作出解除停止作业决定。</w:t>
            </w:r>
          </w:p>
          <w:p>
            <w:pPr>
              <w:widowControl/>
              <w:adjustRightInd w:val="0"/>
              <w:snapToGrid w:val="0"/>
              <w:spacing w:line="300" w:lineRule="exact"/>
              <w:ind w:firstLine="400" w:firstLineChars="200"/>
              <w:rPr>
                <w:rFonts w:eastAsia="黑体" w:cs="黑体"/>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5.其他法律法规规章文件规定应履行的责任。</w:t>
            </w:r>
          </w:p>
        </w:tc>
        <w:tc>
          <w:tcPr>
            <w:tcW w:w="569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1.【法律】《中华人民共和国行政强制法》第十八条：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第二十四条：行政机关决定实施查封、扣押的，应当履行本法第十八条规定的程序，制作并当场交付查封、扣押决定书和清单。</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2.【法律】《中华人民共和国行政强制法》第二十六条：对查封、扣押的场所、设施或者财物，行政机关应当妥善保管，不得使用或者损毁；造成损失的，应当承担赔偿责任。</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3.【法律】《中华人民共和国行政强制法》第二十五条：查封、扣押的期限不得超过三十日；情况复杂的，经行政机关负责人批准，可以延长，但是延长期限不得超过三十日。法律、行政法规另有规定的除外。</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延长查封、扣押的决定应当及时书面告知当事人，并说明理由。</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对物品需要进行检测、检验、检疫或者技术鉴定的，查封、扣押的期间不包括检测、检验、检疫或者技术鉴定的期间。检测、检验、检疫或者技术鉴定的期间应当明确，并书面告知当事人。检测、检验、检疫或者技术鉴定的费用由行政机关承担。</w:t>
            </w:r>
          </w:p>
          <w:p>
            <w:pPr>
              <w:widowControl/>
              <w:adjustRightInd w:val="0"/>
              <w:snapToGrid w:val="0"/>
              <w:spacing w:line="300" w:lineRule="exact"/>
              <w:ind w:firstLine="400" w:firstLineChars="200"/>
              <w:jc w:val="left"/>
              <w:rPr>
                <w:rFonts w:eastAsia="黑体" w:cs="黑体"/>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4.【法律】《中华人民共和国行政强制法》第二十七条：行政机关采取查封、扣押措施后，应当及时查清事实，在本法第二十五条规定的期限内作出处理决定。对违法事实清楚，依法应当没收的非法财物予以没收；法律、行政法规规定应当销毁的，依法销毁；应当解除查封、扣押的，作出解除查封、扣押的决定。</w:t>
            </w:r>
          </w:p>
        </w:tc>
        <w:tc>
          <w:tcPr>
            <w:tcW w:w="26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因不履行或不正确履行行政职责，有下列情形的，行政机关及相关工作人员应承担相应责任：</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1.无法定依据或者超越法定权限实施行政强制的；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2.违反法定程序实施行政强制的；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3.不具备行政执法资格实施行政强制的；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4.在实施行政强制过程中滥用职权、玩忽职守、徇私舞弊的；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5.利用行政强制权为单位或者个人谋取利益的；</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6.其他违反法律法规规章文件规定的行为。</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641"/>
              <w:jc w:val="both"/>
              <w:textAlignment w:val="auto"/>
              <w:outlineLvl w:val="9"/>
              <w:rPr>
                <w:rFonts w:hint="eastAsia" w:ascii="仿宋_GB2312" w:hAnsi="仿宋_GB2312"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1.【法律】《中华人民共和国行政处罚法》第</w:t>
            </w:r>
            <w:r>
              <w:rPr>
                <w:rFonts w:hint="eastAsia" w:ascii="Times New Roman" w:hAnsi="Times New Roman" w:eastAsia="仿宋_GB2312" w:cs="仿宋_GB2312"/>
                <w:snapToGrid w:val="0"/>
                <w:color w:val="000000"/>
                <w:sz w:val="20"/>
                <w:szCs w:val="20"/>
                <w:lang w:eastAsia="zh-CN"/>
              </w:rPr>
              <w:t>七</w:t>
            </w:r>
            <w:r>
              <w:rPr>
                <w:rFonts w:hint="eastAsia" w:ascii="Times New Roman" w:hAnsi="Times New Roman" w:eastAsia="仿宋_GB2312" w:cs="仿宋_GB2312"/>
                <w:snapToGrid w:val="0"/>
                <w:color w:val="000000"/>
                <w:sz w:val="20"/>
                <w:szCs w:val="20"/>
              </w:rPr>
              <w:t>十</w:t>
            </w:r>
            <w:r>
              <w:rPr>
                <w:rFonts w:hint="eastAsia" w:ascii="Times New Roman" w:hAnsi="Times New Roman" w:eastAsia="仿宋_GB2312" w:cs="仿宋_GB2312"/>
                <w:snapToGrid w:val="0"/>
                <w:color w:val="000000"/>
                <w:sz w:val="20"/>
                <w:szCs w:val="20"/>
                <w:lang w:eastAsia="zh-CN"/>
              </w:rPr>
              <w:t>六</w:t>
            </w:r>
            <w:r>
              <w:rPr>
                <w:rFonts w:hint="eastAsia" w:ascii="Times New Roman" w:hAnsi="Times New Roman" w:eastAsia="仿宋_GB2312" w:cs="仿宋_GB2312"/>
                <w:snapToGrid w:val="0"/>
                <w:color w:val="000000"/>
                <w:sz w:val="20"/>
                <w:szCs w:val="20"/>
              </w:rPr>
              <w:t>条“</w:t>
            </w:r>
            <w:r>
              <w:rPr>
                <w:rFonts w:hint="eastAsia" w:ascii="仿宋_GB2312" w:hAnsi="仿宋_GB2312" w:eastAsia="仿宋_GB2312" w:cs="仿宋_GB2312"/>
                <w:snapToGrid w:val="0"/>
                <w:color w:val="000000"/>
                <w:sz w:val="20"/>
                <w:szCs w:val="20"/>
              </w:rPr>
              <w:t>行政机关实施行政处罚，有下列情形之一，由上级行政机关或者有关机关责令改正，对直接负责的主管人员和其他直接责任人员依法给予处分：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300" w:lineRule="exact"/>
              <w:ind w:firstLine="641"/>
              <w:jc w:val="both"/>
              <w:textAlignment w:val="auto"/>
              <w:outlineLvl w:val="9"/>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（一）没有法定的行政处罚依据的；</w:t>
            </w:r>
          </w:p>
          <w:p>
            <w:pPr>
              <w:keepNext w:val="0"/>
              <w:keepLines w:val="0"/>
              <w:pageBreakBefore w:val="0"/>
              <w:widowControl w:val="0"/>
              <w:kinsoku/>
              <w:wordWrap/>
              <w:overflowPunct/>
              <w:topLinePunct w:val="0"/>
              <w:autoSpaceDE/>
              <w:autoSpaceDN/>
              <w:bidi w:val="0"/>
              <w:adjustRightInd/>
              <w:snapToGrid/>
              <w:spacing w:line="300" w:lineRule="exact"/>
              <w:ind w:firstLine="641"/>
              <w:jc w:val="both"/>
              <w:textAlignment w:val="auto"/>
              <w:outlineLvl w:val="9"/>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（二）擅自改变行政处罚种类、幅度的；</w:t>
            </w:r>
          </w:p>
          <w:p>
            <w:pPr>
              <w:keepNext w:val="0"/>
              <w:keepLines w:val="0"/>
              <w:pageBreakBefore w:val="0"/>
              <w:widowControl w:val="0"/>
              <w:kinsoku/>
              <w:wordWrap/>
              <w:overflowPunct/>
              <w:topLinePunct w:val="0"/>
              <w:autoSpaceDE/>
              <w:autoSpaceDN/>
              <w:bidi w:val="0"/>
              <w:adjustRightInd/>
              <w:snapToGrid/>
              <w:spacing w:line="300" w:lineRule="exact"/>
              <w:ind w:firstLine="641"/>
              <w:jc w:val="both"/>
              <w:textAlignment w:val="auto"/>
              <w:outlineLvl w:val="9"/>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（三）违反法定的行政处罚程序的；</w:t>
            </w:r>
          </w:p>
          <w:p>
            <w:pPr>
              <w:keepNext w:val="0"/>
              <w:keepLines w:val="0"/>
              <w:pageBreakBefore w:val="0"/>
              <w:widowControl w:val="0"/>
              <w:kinsoku/>
              <w:wordWrap/>
              <w:overflowPunct/>
              <w:topLinePunct w:val="0"/>
              <w:autoSpaceDE/>
              <w:autoSpaceDN/>
              <w:bidi w:val="0"/>
              <w:adjustRightInd/>
              <w:snapToGrid/>
              <w:spacing w:line="300" w:lineRule="exact"/>
              <w:ind w:firstLine="641"/>
              <w:jc w:val="both"/>
              <w:textAlignment w:val="auto"/>
              <w:outlineLvl w:val="9"/>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（四）违反本法第二十条关于委托处罚的规定的；</w:t>
            </w:r>
          </w:p>
          <w:p>
            <w:pPr>
              <w:keepNext w:val="0"/>
              <w:keepLines w:val="0"/>
              <w:pageBreakBefore w:val="0"/>
              <w:widowControl w:val="0"/>
              <w:kinsoku/>
              <w:wordWrap/>
              <w:overflowPunct/>
              <w:topLinePunct w:val="0"/>
              <w:autoSpaceDE/>
              <w:autoSpaceDN/>
              <w:bidi w:val="0"/>
              <w:adjustRightInd/>
              <w:snapToGrid/>
              <w:spacing w:line="300" w:lineRule="exact"/>
              <w:ind w:firstLine="641"/>
              <w:jc w:val="both"/>
              <w:textAlignment w:val="auto"/>
              <w:outlineLvl w:val="9"/>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（五）执法人员未取得执法证件的。</w:t>
            </w:r>
          </w:p>
          <w:p>
            <w:pPr>
              <w:keepNext w:val="0"/>
              <w:keepLines w:val="0"/>
              <w:pageBreakBefore w:val="0"/>
              <w:widowControl w:val="0"/>
              <w:kinsoku/>
              <w:wordWrap/>
              <w:overflowPunct/>
              <w:topLinePunct w:val="0"/>
              <w:autoSpaceDE/>
              <w:autoSpaceDN/>
              <w:bidi w:val="0"/>
              <w:adjustRightInd/>
              <w:snapToGrid/>
              <w:spacing w:line="300" w:lineRule="exact"/>
              <w:ind w:firstLine="641"/>
              <w:jc w:val="both"/>
              <w:textAlignment w:val="auto"/>
              <w:outlineLvl w:val="9"/>
              <w:rPr>
                <w:rFonts w:hint="eastAsia" w:ascii="Times New Roman" w:hAnsi="Times New Roman" w:eastAsia="仿宋_GB2312" w:cs="仿宋_GB2312"/>
                <w:snapToGrid w:val="0"/>
                <w:color w:val="000000"/>
                <w:sz w:val="20"/>
                <w:szCs w:val="20"/>
                <w:lang w:eastAsia="zh-CN"/>
              </w:rPr>
            </w:pPr>
            <w:r>
              <w:rPr>
                <w:rFonts w:hint="eastAsia" w:ascii="仿宋_GB2312" w:hAnsi="仿宋_GB2312" w:eastAsia="仿宋_GB2312" w:cs="仿宋_GB2312"/>
                <w:snapToGrid w:val="0"/>
                <w:color w:val="000000"/>
                <w:sz w:val="20"/>
                <w:szCs w:val="20"/>
              </w:rPr>
              <w:t>行政机关对符合立案标准的案件不及时立案的，依照前款规定予以处理。</w:t>
            </w:r>
            <w:r>
              <w:rPr>
                <w:rFonts w:hint="eastAsia" w:ascii="仿宋_GB2312" w:hAnsi="仿宋_GB2312" w:eastAsia="仿宋_GB2312" w:cs="仿宋_GB2312"/>
                <w:snapToGrid w:val="0"/>
                <w:color w:val="000000"/>
                <w:sz w:val="20"/>
                <w:szCs w:val="20"/>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641" w:firstLineChars="0"/>
              <w:jc w:val="both"/>
              <w:textAlignment w:val="auto"/>
              <w:outlineLvl w:val="9"/>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2.【法律】《中华人民共和国行政处罚法》第</w:t>
            </w:r>
            <w:r>
              <w:rPr>
                <w:rFonts w:hint="eastAsia" w:ascii="Times New Roman" w:hAnsi="Times New Roman" w:eastAsia="仿宋_GB2312" w:cs="仿宋_GB2312"/>
                <w:snapToGrid w:val="0"/>
                <w:color w:val="000000"/>
                <w:sz w:val="20"/>
                <w:szCs w:val="20"/>
                <w:lang w:eastAsia="zh-CN"/>
              </w:rPr>
              <w:t>八</w:t>
            </w:r>
            <w:r>
              <w:rPr>
                <w:rFonts w:hint="eastAsia" w:ascii="Times New Roman" w:hAnsi="Times New Roman" w:eastAsia="仿宋_GB2312" w:cs="仿宋_GB2312"/>
                <w:snapToGrid w:val="0"/>
                <w:color w:val="000000"/>
                <w:sz w:val="20"/>
                <w:szCs w:val="20"/>
              </w:rPr>
              <w:t>十</w:t>
            </w:r>
            <w:r>
              <w:rPr>
                <w:rFonts w:hint="eastAsia" w:ascii="Times New Roman" w:hAnsi="Times New Roman" w:eastAsia="仿宋_GB2312" w:cs="仿宋_GB2312"/>
                <w:snapToGrid w:val="0"/>
                <w:color w:val="000000"/>
                <w:sz w:val="20"/>
                <w:szCs w:val="20"/>
                <w:lang w:eastAsia="zh-CN"/>
              </w:rPr>
              <w:t>三</w:t>
            </w:r>
            <w:r>
              <w:rPr>
                <w:rFonts w:hint="eastAsia" w:ascii="Times New Roman" w:hAnsi="Times New Roman" w:eastAsia="仿宋_GB2312" w:cs="仿宋_GB2312"/>
                <w:snapToGrid w:val="0"/>
                <w:color w:val="000000"/>
                <w:sz w:val="20"/>
                <w:szCs w:val="20"/>
              </w:rPr>
              <w:t>条“</w:t>
            </w:r>
            <w:r>
              <w:rPr>
                <w:rFonts w:hint="eastAsia" w:ascii="仿宋_GB2312" w:hAnsi="仿宋_GB2312" w:eastAsia="仿宋_GB2312" w:cs="仿宋_GB2312"/>
                <w:snapToGrid w:val="0"/>
                <w:color w:val="000000"/>
                <w:sz w:val="20"/>
                <w:szCs w:val="20"/>
              </w:rPr>
              <w:t>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Times New Roman" w:hAnsi="Times New Roman" w:eastAsia="仿宋_GB2312" w:cs="仿宋_GB2312"/>
                <w:snapToGrid w:val="0"/>
                <w:color w:val="000000"/>
                <w:sz w:val="20"/>
                <w:szCs w:val="20"/>
              </w:rPr>
              <w:t>”</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法律法规规定的免责情形以及市委、市政府有关文件中明确的免责情形。</w:t>
            </w:r>
          </w:p>
        </w:tc>
        <w:tc>
          <w:tcPr>
            <w:tcW w:w="4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r>
      <w:tr>
        <w:tblPrEx>
          <w:tblCellMar>
            <w:top w:w="28" w:type="dxa"/>
            <w:left w:w="28" w:type="dxa"/>
            <w:bottom w:w="28" w:type="dxa"/>
            <w:right w:w="28" w:type="dxa"/>
          </w:tblCellMar>
        </w:tblPrEx>
        <w:trPr>
          <w:trHeight w:val="12758" w:hRule="atLeast"/>
          <w:jc w:val="center"/>
        </w:trPr>
        <w:tc>
          <w:tcPr>
            <w:tcW w:w="2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黑体" w:cs="黑体"/>
                <w:snapToGrid w:val="0"/>
                <w:color w:val="000000" w:themeColor="text1"/>
                <w:sz w:val="20"/>
                <w:szCs w:val="20"/>
                <w:lang w:val="en-US" w:eastAsia="zh-CN"/>
                <w14:textFill>
                  <w14:solidFill>
                    <w14:schemeClr w14:val="tx1"/>
                  </w14:solidFill>
                </w14:textFill>
              </w:rPr>
            </w:pPr>
            <w:r>
              <w:rPr>
                <w:rFonts w:hint="eastAsia" w:eastAsia="黑体" w:cs="黑体"/>
                <w:snapToGrid w:val="0"/>
                <w:color w:val="000000" w:themeColor="text1"/>
                <w:sz w:val="20"/>
                <w:szCs w:val="20"/>
                <w:lang w:val="en-US" w:eastAsia="zh-CN"/>
                <w14:textFill>
                  <w14:solidFill>
                    <w14:schemeClr w14:val="tx1"/>
                  </w14:solidFill>
                </w14:textFill>
              </w:rPr>
              <w:t>4</w:t>
            </w:r>
          </w:p>
        </w:tc>
        <w:tc>
          <w:tcPr>
            <w:tcW w:w="8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行政处罚</w:t>
            </w:r>
          </w:p>
        </w:tc>
        <w:tc>
          <w:tcPr>
            <w:tcW w:w="124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对阻碍、拒绝节能监察的行政处罚</w:t>
            </w:r>
          </w:p>
        </w:tc>
        <w:tc>
          <w:tcPr>
            <w:tcW w:w="87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lang w:eastAsia="zh-CN"/>
                <w14:textFill>
                  <w14:solidFill>
                    <w14:schemeClr w14:val="tx1"/>
                  </w14:solidFill>
                </w14:textFill>
              </w:rPr>
              <w:t>柳州市城中区工业和信息化局</w:t>
            </w:r>
          </w:p>
        </w:tc>
        <w:tc>
          <w:tcPr>
            <w:tcW w:w="217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1.【法律】《中华人民共和国节约能源法》第十二条：县级以上人民政府管理节能工作的部门和有关部门应当在各自的职责范围内，加强对节能法律、法规和节能标准执行情况的监督检查，依法查处违法用能行为。</w:t>
            </w:r>
          </w:p>
          <w:p>
            <w:pPr>
              <w:adjustRightInd w:val="0"/>
              <w:snapToGrid w:val="0"/>
              <w:spacing w:line="300" w:lineRule="exact"/>
              <w:ind w:firstLine="390"/>
              <w:jc w:val="center"/>
              <w:rPr>
                <w:rFonts w:eastAsia="黑体" w:cs="黑体"/>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2.【地方性法规】《广西壮族自治区实施〈中华人民共和国节约能源法〉办法》（2013年广西壮族自治区第十二届人民代表大会常务委员会公告第7号）第三十四条：用能单位阻碍或者拒绝接受节能监督检查的，由县级以上人民政府有关节能监督管理部门按照职权予以警告，责令限期改正；逾期不改正的，可以处五千元以上五万元以下罚款。</w:t>
            </w:r>
          </w:p>
        </w:tc>
        <w:tc>
          <w:tcPr>
            <w:tcW w:w="445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1.立案阶段责任：受案部门在对报案、控告、举报、群众扭送或者违法嫌疑人投案，以及其他行政主管部门、司法机关移送的案件，应当及时受理。</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2.调查阶段责任：受案部门对于立案的案件，指定专人负责调查，与当事人有直接利害关系的应当回避。调查时应出示执法证件，执法人员不得少于二人，执法人员应保守案件秘密。</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3.案件审查阶段责任：受案部门应当对案件违法事实、证据、调查取证程序、法律适用、处罚种类和幅度、当事人陈述和申辩理由等内容进行审查，提出处理意见（主要证据不足的，及时调查补充）。</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4.告知阶段责任：受案部门在做出行政处罚前，应当告知当事人违法事实以及依法享有的陈述、申辩的权利，拟作出责令停产停业、吊销许可证或执照、较大数额罚款的，可以要求听证的权利。</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5.决定阶段责任：受案部门根据案件审查情况决定是否予以行政处罚。依法给予行政处罚的，应当制作行政处罚决定书，载明违法事实和依据、处罚依据和内容、申请行政复议或提起行政诉讼的途径和期限等内容。</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6.送达阶段责任：行政处罚决定书应依法按时送达当事人。</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7.执行阶段责任：监督当事人在决定期限内履行义务；书面催告当事人及时履行处罚决定；依法申请人民法院强制执行。</w:t>
            </w:r>
          </w:p>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8.法律法规规定的其他责任。</w:t>
            </w:r>
          </w:p>
        </w:tc>
        <w:tc>
          <w:tcPr>
            <w:tcW w:w="5690" w:type="dxa"/>
            <w:tcBorders>
              <w:top w:val="single" w:color="auto" w:sz="4" w:space="0"/>
              <w:left w:val="nil"/>
              <w:bottom w:val="single" w:color="auto" w:sz="4" w:space="0"/>
              <w:right w:val="single" w:color="auto" w:sz="4" w:space="0"/>
            </w:tcBorders>
            <w:vAlign w:val="center"/>
          </w:tcPr>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1.【法律】《中华人民共和国行政处罚法》第十七条：行政处罚由具有行政处罚权的行政机关在法定职权范围内实施。</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第二十二条：行政处罚由违法行为发生地的行政机关管辖。法律、行政法规、部门规章另有规定的，从其规定。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当事人或者有关人员应当如实回答询问，并协助调查或者检查，不得拒绝或者阻挠。询问或者检查应当制作笔录。</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2.【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符合立案标准的，行政机关应当及时立案。</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3.【法律】《中华人民共和国行政处罚法》第五十七条：调查终结，行政机关负责人应当对调查结果进行审查，根据不同情况，分别作出如下决定：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（一）确有应受行政处罚的违法行为的，根据情节轻重及具体情况，作出行政处罚决定；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（二）违法行为轻微，依法可以不予行政处罚的，不予行政处罚；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（三）违法事实不能成立的，不予行政处罚；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（四）违法行为涉嫌犯罪的，移送司法机关。</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对情节复杂或者重大违法行为给予行政处罚，行政机关负责人应当集体讨论决定。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第五十八条：有下列情形之一，在行政机关负责人作出行政处罚的决定之前，应当由从事行政处罚决定法制审核的人员进行法制审核；未经法制审核或者审核未通过的，不得作出决定：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（一）涉及重大公共利益的；</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（二）直接关系当事人或者第三人重大权益，经过听证程序的；</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（三）案件情况疑难复杂、涉及多个法律关系的；</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（四）法律、法规规定应当进行法制审核的其他情形。</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行政机关中初次从事行政处罚决定法制审核的人员，应当通过国家统一法律职业资格考试取得法律职业资格。</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4.【法律】《中华人民共和国行政处罚法》第四十四条：行政机关在作出行政处罚决定之前，应当告知当事人拟作出的行政处罚内容及事实、理由、依据，并告知当事人依法享有的陈述、申辩、要求听证等权利。</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第六十三条：行政机关拟作出下列行政处罚决定，应当告知当事人有要求听证的权利，当事人要求听证的，行政机关应当组织听证：</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一）较大数额罚款；（二）没收较大数额违法所得、没收较大价值非法财物；（三）降低资质等级、吊销许可证件；（四）责令停产停业、责令关闭、限制从业；（五）其他较重的行政处罚；（六）法律、法规、规章规定的其他情形。</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当事人不承担行政机关组织听证的费用。</w:t>
            </w:r>
          </w:p>
        </w:tc>
        <w:tc>
          <w:tcPr>
            <w:tcW w:w="26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因不履行或不正确履行行政职责，有下列情形的，行政机关及相关工作人员应承担相应责任：</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1.不按照法定条件或法定程序对违反节能法行为实施行政处罚的；没有法律和事实依据实施行政处罚的；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2.擅自改变处罚幅度、范围的；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3.执法人员玩忽职守，对应当予以制止和处罚的违法行为不予以制止、处罚，致使公民、法人或其他组织的合法利益、公共利益和社会秩序遭受损害的；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4.徇私舞弊、包庇、纵容用能违法行为的；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5.违法对当事人进行处罚不使用罚款、没收财物单据或者使用非法定部门制发的罚款、没收财物单据的；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6.在行政处罚过程中发生腐败行为的或使用、损毁扣押的财物，对当事人造成损失的；</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7.其他违反法律法规、规章以及规范性文件规定的行为。</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1.【法律】《中华人民共和国行政处罚法》第</w:t>
            </w:r>
            <w:r>
              <w:rPr>
                <w:rFonts w:hint="eastAsia" w:ascii="Times New Roman" w:hAnsi="Times New Roman" w:eastAsia="仿宋_GB2312" w:cs="仿宋_GB2312"/>
                <w:snapToGrid w:val="0"/>
                <w:color w:val="000000"/>
                <w:sz w:val="20"/>
                <w:szCs w:val="20"/>
                <w:lang w:eastAsia="zh-CN"/>
              </w:rPr>
              <w:t>七</w:t>
            </w:r>
            <w:r>
              <w:rPr>
                <w:rFonts w:hint="eastAsia" w:ascii="Times New Roman" w:hAnsi="Times New Roman" w:eastAsia="仿宋_GB2312" w:cs="仿宋_GB2312"/>
                <w:snapToGrid w:val="0"/>
                <w:color w:val="000000"/>
                <w:sz w:val="20"/>
                <w:szCs w:val="20"/>
              </w:rPr>
              <w:t>十</w:t>
            </w:r>
            <w:r>
              <w:rPr>
                <w:rFonts w:hint="eastAsia" w:ascii="Times New Roman" w:hAnsi="Times New Roman" w:eastAsia="仿宋_GB2312" w:cs="仿宋_GB2312"/>
                <w:snapToGrid w:val="0"/>
                <w:color w:val="000000"/>
                <w:sz w:val="20"/>
                <w:szCs w:val="20"/>
                <w:lang w:eastAsia="zh-CN"/>
              </w:rPr>
              <w:t>六</w:t>
            </w:r>
            <w:r>
              <w:rPr>
                <w:rFonts w:hint="eastAsia" w:ascii="Times New Roman" w:hAnsi="Times New Roman" w:eastAsia="仿宋_GB2312" w:cs="仿宋_GB2312"/>
                <w:snapToGrid w:val="0"/>
                <w:color w:val="000000"/>
                <w:sz w:val="20"/>
                <w:szCs w:val="20"/>
              </w:rPr>
              <w:t>条“</w:t>
            </w:r>
            <w:r>
              <w:rPr>
                <w:rFonts w:hint="eastAsia" w:ascii="仿宋_GB2312" w:hAnsi="仿宋_GB2312" w:eastAsia="仿宋_GB2312" w:cs="仿宋_GB2312"/>
                <w:snapToGrid w:val="0"/>
                <w:color w:val="000000"/>
                <w:sz w:val="20"/>
                <w:szCs w:val="20"/>
              </w:rPr>
              <w:t>行政机关实施行政处罚，有下列情形之一，由上级行政机关或者有关机关责令改正，对直接负责的主管人员和其他直接责任人员依法给予处分：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（一）没有法定的行政处罚依据的；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（二）擅自改变行政处罚种类、幅度的；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（三）违反法定的行政处罚程序的；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（四）违反本法第二十条关于委托处罚的规定的；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（五）执法人员未取得执法证件的。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Times New Roman" w:hAnsi="Times New Roman" w:eastAsia="仿宋_GB2312" w:cs="仿宋_GB2312"/>
                <w:snapToGrid w:val="0"/>
                <w:color w:val="000000"/>
                <w:sz w:val="20"/>
                <w:szCs w:val="20"/>
                <w:lang w:eastAsia="zh-CN"/>
              </w:rPr>
            </w:pPr>
            <w:r>
              <w:rPr>
                <w:rFonts w:hint="eastAsia" w:ascii="仿宋_GB2312" w:hAnsi="仿宋_GB2312" w:eastAsia="仿宋_GB2312" w:cs="仿宋_GB2312"/>
                <w:snapToGrid w:val="0"/>
                <w:color w:val="000000"/>
                <w:sz w:val="20"/>
                <w:szCs w:val="20"/>
              </w:rPr>
              <w:t>行政机关对符合立案标准的案件不及时立案的，依照前款规定予以处理。</w:t>
            </w:r>
            <w:r>
              <w:rPr>
                <w:rFonts w:hint="eastAsia" w:ascii="仿宋_GB2312" w:hAnsi="仿宋_GB2312" w:eastAsia="仿宋_GB2312" w:cs="仿宋_GB2312"/>
                <w:snapToGrid w:val="0"/>
                <w:color w:val="000000"/>
                <w:sz w:val="20"/>
                <w:szCs w:val="20"/>
                <w:lang w:eastAsia="zh-CN"/>
              </w:rPr>
              <w:t>”</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2.【法律】《中华人民共和国行政处罚法》第</w:t>
            </w:r>
            <w:r>
              <w:rPr>
                <w:rFonts w:hint="eastAsia" w:ascii="Times New Roman" w:hAnsi="Times New Roman" w:eastAsia="仿宋_GB2312" w:cs="仿宋_GB2312"/>
                <w:snapToGrid w:val="0"/>
                <w:color w:val="000000"/>
                <w:sz w:val="20"/>
                <w:szCs w:val="20"/>
                <w:lang w:eastAsia="zh-CN"/>
              </w:rPr>
              <w:t>八</w:t>
            </w:r>
            <w:r>
              <w:rPr>
                <w:rFonts w:hint="eastAsia" w:ascii="Times New Roman" w:hAnsi="Times New Roman" w:eastAsia="仿宋_GB2312" w:cs="仿宋_GB2312"/>
                <w:snapToGrid w:val="0"/>
                <w:color w:val="000000"/>
                <w:sz w:val="20"/>
                <w:szCs w:val="20"/>
              </w:rPr>
              <w:t>十</w:t>
            </w:r>
            <w:r>
              <w:rPr>
                <w:rFonts w:hint="eastAsia" w:ascii="Times New Roman" w:hAnsi="Times New Roman" w:eastAsia="仿宋_GB2312" w:cs="仿宋_GB2312"/>
                <w:snapToGrid w:val="0"/>
                <w:color w:val="000000"/>
                <w:sz w:val="20"/>
                <w:szCs w:val="20"/>
                <w:lang w:eastAsia="zh-CN"/>
              </w:rPr>
              <w:t>三</w:t>
            </w:r>
            <w:r>
              <w:rPr>
                <w:rFonts w:hint="eastAsia" w:ascii="Times New Roman" w:hAnsi="Times New Roman" w:eastAsia="仿宋_GB2312" w:cs="仿宋_GB2312"/>
                <w:snapToGrid w:val="0"/>
                <w:color w:val="000000"/>
                <w:sz w:val="20"/>
                <w:szCs w:val="20"/>
              </w:rPr>
              <w:t>条“</w:t>
            </w:r>
            <w:r>
              <w:rPr>
                <w:rFonts w:hint="eastAsia" w:ascii="仿宋_GB2312" w:hAnsi="仿宋_GB2312" w:eastAsia="仿宋_GB2312" w:cs="仿宋_GB2312"/>
                <w:snapToGrid w:val="0"/>
                <w:color w:val="000000"/>
                <w:sz w:val="20"/>
                <w:szCs w:val="20"/>
              </w:rPr>
              <w:t>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Times New Roman" w:hAnsi="Times New Roman" w:eastAsia="仿宋_GB2312" w:cs="仿宋_GB2312"/>
                <w:snapToGrid w:val="0"/>
                <w:color w:val="000000"/>
                <w:sz w:val="20"/>
                <w:szCs w:val="20"/>
              </w:rPr>
              <w:t>”</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法律法规规定的免责情形以及市委、市政府有关文件中明确的免责情形。</w:t>
            </w:r>
          </w:p>
        </w:tc>
        <w:tc>
          <w:tcPr>
            <w:tcW w:w="4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r>
      <w:tr>
        <w:tblPrEx>
          <w:tblCellMar>
            <w:top w:w="28" w:type="dxa"/>
            <w:left w:w="28" w:type="dxa"/>
            <w:bottom w:w="28" w:type="dxa"/>
            <w:right w:w="28" w:type="dxa"/>
          </w:tblCellMar>
        </w:tblPrEx>
        <w:trPr>
          <w:trHeight w:val="12758" w:hRule="atLeast"/>
          <w:jc w:val="center"/>
        </w:trPr>
        <w:tc>
          <w:tcPr>
            <w:tcW w:w="2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124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217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p>
        </w:tc>
        <w:tc>
          <w:tcPr>
            <w:tcW w:w="445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p>
        </w:tc>
        <w:tc>
          <w:tcPr>
            <w:tcW w:w="5690" w:type="dxa"/>
            <w:tcBorders>
              <w:top w:val="single" w:color="auto" w:sz="4" w:space="0"/>
              <w:left w:val="nil"/>
              <w:bottom w:val="single" w:color="auto" w:sz="4" w:space="0"/>
              <w:right w:val="single" w:color="auto" w:sz="4" w:space="0"/>
            </w:tcBorders>
            <w:vAlign w:val="center"/>
          </w:tcPr>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六十四条：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5.【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对情节复杂或者重大违法行为给予行政处罚，行政机关负责人应当集体讨论决定。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6.【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当事人同意并签订确认书的，行政机关可以采用传真、电子邮件等方式，将行政处罚决定书等送达当事人。</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7.【法律】《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p>
          <w:p>
            <w:pPr>
              <w:spacing w:line="300" w:lineRule="exact"/>
              <w:ind w:firstLine="400" w:firstLineChars="200"/>
              <w:rPr>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8.【法律】《中华人民共和国行政处罚法》第七十五条：</w:t>
            </w:r>
            <w:r>
              <w:rPr>
                <w:rFonts w:ascii="仿宋_GB2312" w:hAnsi="仿宋_GB2312" w:eastAsia="仿宋_GB2312" w:cs="仿宋_GB2312"/>
                <w:color w:val="000000" w:themeColor="text1"/>
                <w:sz w:val="20"/>
                <w:szCs w:val="20"/>
                <w14:textFill>
                  <w14:solidFill>
                    <w14:schemeClr w14:val="tx1"/>
                  </w14:solidFill>
                </w14:textFill>
              </w:rPr>
              <w:t>行政机关应当建立健全对行政处罚的监督制度。县级以上人民政府应当定期组织开展行政执法评议、考核，加强对行政处罚的监督检查，规范和保障行政处罚的实施。</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ascii="仿宋_GB2312" w:hAnsi="仿宋_GB2312" w:eastAsia="仿宋_GB2312" w:cs="仿宋_GB2312"/>
                <w:color w:val="000000" w:themeColor="text1"/>
                <w:sz w:val="20"/>
                <w:szCs w:val="20"/>
                <w14:textFill>
                  <w14:solidFill>
                    <w14:schemeClr w14:val="tx1"/>
                  </w14:solidFill>
                </w14:textFill>
              </w:rPr>
              <w:t>行政机关实施行政处罚应当接受社会监督。公民、法人或者其他组织对行政机关实施行政处罚的行为，有权申诉或者检举；行政机</w:t>
            </w:r>
            <w:r>
              <w:rPr>
                <w:rFonts w:hint="eastAsia" w:ascii="仿宋_GB2312" w:hAnsi="仿宋_GB2312" w:eastAsia="仿宋_GB2312" w:cs="仿宋_GB2312"/>
                <w:snapToGrid w:val="0"/>
                <w:color w:val="000000" w:themeColor="text1"/>
                <w:sz w:val="20"/>
                <w:szCs w:val="20"/>
                <w14:textFill>
                  <w14:solidFill>
                    <w14:schemeClr w14:val="tx1"/>
                  </w14:solidFill>
                </w14:textFill>
              </w:rPr>
              <w:t>关应当认真审查，发现有错误的，应当主动改正。</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p>
        </w:tc>
        <w:tc>
          <w:tcPr>
            <w:tcW w:w="26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4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r>
      <w:tr>
        <w:tblPrEx>
          <w:tblCellMar>
            <w:top w:w="28" w:type="dxa"/>
            <w:left w:w="28" w:type="dxa"/>
            <w:bottom w:w="28" w:type="dxa"/>
            <w:right w:w="28" w:type="dxa"/>
          </w:tblCellMar>
        </w:tblPrEx>
        <w:trPr>
          <w:trHeight w:val="12758" w:hRule="atLeast"/>
          <w:jc w:val="center"/>
        </w:trPr>
        <w:tc>
          <w:tcPr>
            <w:tcW w:w="2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黑体" w:cs="黑体"/>
                <w:snapToGrid w:val="0"/>
                <w:color w:val="000000" w:themeColor="text1"/>
                <w:sz w:val="20"/>
                <w:szCs w:val="20"/>
                <w:lang w:val="en-US" w:eastAsia="zh-CN"/>
                <w14:textFill>
                  <w14:solidFill>
                    <w14:schemeClr w14:val="tx1"/>
                  </w14:solidFill>
                </w14:textFill>
              </w:rPr>
            </w:pPr>
            <w:r>
              <w:rPr>
                <w:rFonts w:hint="eastAsia" w:eastAsia="黑体" w:cs="黑体"/>
                <w:snapToGrid w:val="0"/>
                <w:color w:val="000000" w:themeColor="text1"/>
                <w:sz w:val="20"/>
                <w:szCs w:val="20"/>
                <w:lang w:val="en-US" w:eastAsia="zh-CN"/>
                <w14:textFill>
                  <w14:solidFill>
                    <w14:schemeClr w14:val="tx1"/>
                  </w14:solidFill>
                </w14:textFill>
              </w:rPr>
              <w:t>5</w:t>
            </w:r>
          </w:p>
        </w:tc>
        <w:tc>
          <w:tcPr>
            <w:tcW w:w="8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行政处罚</w:t>
            </w:r>
          </w:p>
        </w:tc>
        <w:tc>
          <w:tcPr>
            <w:tcW w:w="124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对重点用能单位无正当理由拒不落实整改要求或者整改没有达到要求的处罚</w:t>
            </w:r>
          </w:p>
        </w:tc>
        <w:tc>
          <w:tcPr>
            <w:tcW w:w="87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lang w:eastAsia="zh-CN"/>
                <w14:textFill>
                  <w14:solidFill>
                    <w14:schemeClr w14:val="tx1"/>
                  </w14:solidFill>
                </w14:textFill>
              </w:rPr>
              <w:t>柳州市城中区工业和信息化局</w:t>
            </w:r>
          </w:p>
        </w:tc>
        <w:tc>
          <w:tcPr>
            <w:tcW w:w="217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【法律】《中华人民共和国节约能源法》第十二条：县级以上人民政府管理节能工作的部门和有关部门应当在各自的职责范围内，加强对节能法律、法规和节能标准执行情况的监督检查，依法查处违法用能行为。</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第五十四条：管理节能工作的部门应当对重点用能单位报送的能源利用状况报告进行审查。对节能管理制度不健全、节能措施不落实、能源利用效率低的重点用能单位，管理节能工作的部门应当开展现场调查，组织实施用能设备能源效率检测，责令实施能源审计，并提出书面整改要求，限期整改。</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第八十三条：重点用能单位无正当理由拒不落实本法第五十四条规定的整改要求或者整改没有达到要求的，由管理节能工作的部门处十万元以上三十万元以下罚款。</w:t>
            </w:r>
          </w:p>
        </w:tc>
        <w:tc>
          <w:tcPr>
            <w:tcW w:w="445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1.立案阶段责任：受案部门在对报案、控告、举报、群众扭送或者违法嫌疑人投案，以及其他行政主管部门、司法机关移送的案件，应当及时受理。</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2.调查阶段责任：受案部门对于立案的案件，指定专人负责调查，与当事人有直接利害关系的应当回避。调查时应出示执法证件，执法人员不得少于二人，执法人员应保守案件秘密。</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3.案件审查阶段责任：受案部门应当对案件违法事实、证据、调查取证程序、法律适用、处罚种类和幅度、当事人陈述和申辩理由等内容进行审查，提出处理意见（主要证据不足的，及时调查补充）。</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4.告知阶段责任：受案部门在做出行政处罚前，应当告知当事人违法事实以及依法享有的陈述、申辩的权利，拟作出责令停产停业、吊销许可证或执照、较大数额罚款的，可以要求听证的权利。</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5.决定阶段责任：受案部门根据案件审查情况决定是否予以行政处罚。依法给予行政处罚的，应当制作行政处罚决定书，载明违法事实和依据、处罚依据和内容、申请行政复议或提起行政诉讼的途径和期限等内容。</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6.送达阶段责任：行政处罚决定书应依法按时送达当事人。</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7.执行阶段责任：监督当事人在决定期限内履行义务；书面催告当事人及时履行处罚决定；依法申请人民法院强制执行。</w:t>
            </w:r>
          </w:p>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8.法律法规规定的其他责任。</w:t>
            </w:r>
          </w:p>
        </w:tc>
        <w:tc>
          <w:tcPr>
            <w:tcW w:w="5690" w:type="dxa"/>
            <w:tcBorders>
              <w:top w:val="single" w:color="auto" w:sz="4" w:space="0"/>
              <w:left w:val="nil"/>
              <w:bottom w:val="single" w:color="auto" w:sz="4" w:space="0"/>
              <w:right w:val="single" w:color="auto" w:sz="4" w:space="0"/>
            </w:tcBorders>
            <w:vAlign w:val="center"/>
          </w:tcPr>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1.【法律】《中华人民共和国行政处罚法》第十七条：行政处罚由具有行政处罚权的行政机关在法定职权范围内实施。</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第二十二条：行政处罚由违法行为发生地的行政机关管辖。法律、行政法规、部门规章另有规定的，从其规定。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当事人或者有关人员应当如实回答询问，并协助调查或者检查，不得拒绝或者阻挠。询问或者检查应当制作笔录。</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2.【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符合立案标准的，行政机关应当及时立案。</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3.【法律】《中华人民共和国行政处罚法》第五十七条：调查终结，行政机关负责人应当对调查结果进行审查，根据不同情况，分别作出如下决定：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（一）确有应受行政处罚的违法行为的，根据情节轻重及具体情况，作出行政处罚决定；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（二）违法行为轻微，依法可以不予行政处罚的，不予行政处罚；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（三）违法事实不能成立的，不予行政处罚；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（四）违法行为涉嫌犯罪的，移送司法机关。</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对情节复杂或者重大违法行为给予行政处罚，行政机关负责人应当集体讨论决定。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第五十八条：有下列情形之一，在行政机关负责人作出行政处罚的决定之前，应当由从事行政处罚决定法制审核的人员进行法制审核；未经法制审核或者审核未通过的，不得作出决定：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（一）涉及重大公共利益的；</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（二）直接关系当事人或者第三人重大权益，经过听证程序的；</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（三）案件情况疑难复杂、涉及多个法律关系的；</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（四）法律、法规规定应当进行法制审核的其他情形。</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行政机关中初次从事行政处罚决定法制审核的人员，应当通过国家统一法律职业资格考试取得法律职业资格。</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4.【法律】《中华人民共和国行政处罚法》第四十四条：行政机关在作出行政处罚决定之前，应当告知当事人拟作出的行政处罚内容及事实、理由、依据，并告知当事人依法享有的陈述、申辩、要求听证等权利。</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第六十三条：行政机关拟作出下列行政处罚决定，应当告知当事人有要求听证的权利，当事人要求听证的，行政机关应当组织听证：</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一）较大数额罚款；（二）没收较大数额违法所得、没收较大价值非法财物；（三）降低资质等级、吊销许可证件；（四）责令停产停业、责令关闭、限制从业；（五）其他较重的行政处罚；（六）法律、法规、规章规定的其他情形。</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当事人不承担行政机关组织听证的费用。</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p>
        </w:tc>
        <w:tc>
          <w:tcPr>
            <w:tcW w:w="26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因不履行或不正确履行行政职责，有下列情形的，行政机关及相关工作人员应承担相应责任：</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1.不按照法定条件或法定程序对违反节能法行为实施行政处罚的；没有法律和事实依据实施行政处罚的；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2.擅自改变处罚幅度、范围的；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3.执法人员玩忽职守，对应当予以制止和处罚的违法行为不予以制止、处罚，致使公民、法人或其他组织的合法利益、公共利益和社会秩序遭受损害的；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4.徇私舞弊、包庇、纵容用能违法行为的；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5.违法对当事人进行处罚不使用罚款、没收财物单据或者使用非法定部门制发的罚款、没收财物单据的；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6.在行政处罚过程中发生腐败行为的或使用或者损毁扣押的财物，对当事人造成损失的；</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7.其他违反法律法规和规章以及规范性文件规定的行为。</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1.【法律】《中华人民共和国行政处罚法》第</w:t>
            </w:r>
            <w:r>
              <w:rPr>
                <w:rFonts w:hint="eastAsia" w:ascii="Times New Roman" w:hAnsi="Times New Roman" w:eastAsia="仿宋_GB2312" w:cs="仿宋_GB2312"/>
                <w:snapToGrid w:val="0"/>
                <w:color w:val="000000"/>
                <w:sz w:val="20"/>
                <w:szCs w:val="20"/>
                <w:lang w:eastAsia="zh-CN"/>
              </w:rPr>
              <w:t>七</w:t>
            </w:r>
            <w:r>
              <w:rPr>
                <w:rFonts w:hint="eastAsia" w:ascii="Times New Roman" w:hAnsi="Times New Roman" w:eastAsia="仿宋_GB2312" w:cs="仿宋_GB2312"/>
                <w:snapToGrid w:val="0"/>
                <w:color w:val="000000"/>
                <w:sz w:val="20"/>
                <w:szCs w:val="20"/>
              </w:rPr>
              <w:t>十</w:t>
            </w:r>
            <w:r>
              <w:rPr>
                <w:rFonts w:hint="eastAsia" w:ascii="Times New Roman" w:hAnsi="Times New Roman" w:eastAsia="仿宋_GB2312" w:cs="仿宋_GB2312"/>
                <w:snapToGrid w:val="0"/>
                <w:color w:val="000000"/>
                <w:sz w:val="20"/>
                <w:szCs w:val="20"/>
                <w:lang w:eastAsia="zh-CN"/>
              </w:rPr>
              <w:t>六</w:t>
            </w:r>
            <w:r>
              <w:rPr>
                <w:rFonts w:hint="eastAsia" w:ascii="Times New Roman" w:hAnsi="Times New Roman" w:eastAsia="仿宋_GB2312" w:cs="仿宋_GB2312"/>
                <w:snapToGrid w:val="0"/>
                <w:color w:val="000000"/>
                <w:sz w:val="20"/>
                <w:szCs w:val="20"/>
              </w:rPr>
              <w:t>条“</w:t>
            </w:r>
            <w:r>
              <w:rPr>
                <w:rFonts w:hint="eastAsia" w:ascii="仿宋_GB2312" w:hAnsi="仿宋_GB2312" w:eastAsia="仿宋_GB2312" w:cs="仿宋_GB2312"/>
                <w:snapToGrid w:val="0"/>
                <w:color w:val="000000"/>
                <w:sz w:val="20"/>
                <w:szCs w:val="20"/>
              </w:rPr>
              <w:t>行政机关实施行政处罚，有下列情形之一，由上级行政机关或者有关机关责令改正，对直接负责的主管人员和其他直接责任人员依法给予处分：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（一）没有法定的行政处罚依据的；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（二）擅自改变行政处罚种类、幅度的；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（三）违反法定的行政处罚程序的；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（四）违反本法第二十条关于委托处罚的规定的；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（五）执法人员未取得执法证件的。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Times New Roman" w:hAnsi="Times New Roman" w:eastAsia="仿宋_GB2312" w:cs="仿宋_GB2312"/>
                <w:snapToGrid w:val="0"/>
                <w:color w:val="000000"/>
                <w:sz w:val="20"/>
                <w:szCs w:val="20"/>
                <w:lang w:eastAsia="zh-CN"/>
              </w:rPr>
            </w:pPr>
            <w:r>
              <w:rPr>
                <w:rFonts w:hint="eastAsia" w:ascii="仿宋_GB2312" w:hAnsi="仿宋_GB2312" w:eastAsia="仿宋_GB2312" w:cs="仿宋_GB2312"/>
                <w:snapToGrid w:val="0"/>
                <w:color w:val="000000"/>
                <w:sz w:val="20"/>
                <w:szCs w:val="20"/>
              </w:rPr>
              <w:t>行政机关对符合立案标准的案件不及时立案的，依照前款规定予以处理。</w:t>
            </w:r>
            <w:r>
              <w:rPr>
                <w:rFonts w:hint="eastAsia" w:ascii="仿宋_GB2312" w:hAnsi="仿宋_GB2312" w:eastAsia="仿宋_GB2312" w:cs="仿宋_GB2312"/>
                <w:snapToGrid w:val="0"/>
                <w:color w:val="000000"/>
                <w:sz w:val="20"/>
                <w:szCs w:val="20"/>
                <w:lang w:eastAsia="zh-CN"/>
              </w:rPr>
              <w:t>”</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2.【法律】《中华人民共和国行政处罚法》第</w:t>
            </w:r>
            <w:r>
              <w:rPr>
                <w:rFonts w:hint="eastAsia" w:ascii="Times New Roman" w:hAnsi="Times New Roman" w:eastAsia="仿宋_GB2312" w:cs="仿宋_GB2312"/>
                <w:snapToGrid w:val="0"/>
                <w:color w:val="000000"/>
                <w:sz w:val="20"/>
                <w:szCs w:val="20"/>
                <w:lang w:eastAsia="zh-CN"/>
              </w:rPr>
              <w:t>八</w:t>
            </w:r>
            <w:r>
              <w:rPr>
                <w:rFonts w:hint="eastAsia" w:ascii="Times New Roman" w:hAnsi="Times New Roman" w:eastAsia="仿宋_GB2312" w:cs="仿宋_GB2312"/>
                <w:snapToGrid w:val="0"/>
                <w:color w:val="000000"/>
                <w:sz w:val="20"/>
                <w:szCs w:val="20"/>
              </w:rPr>
              <w:t>十</w:t>
            </w:r>
            <w:r>
              <w:rPr>
                <w:rFonts w:hint="eastAsia" w:ascii="Times New Roman" w:hAnsi="Times New Roman" w:eastAsia="仿宋_GB2312" w:cs="仿宋_GB2312"/>
                <w:snapToGrid w:val="0"/>
                <w:color w:val="000000"/>
                <w:sz w:val="20"/>
                <w:szCs w:val="20"/>
                <w:lang w:eastAsia="zh-CN"/>
              </w:rPr>
              <w:t>三</w:t>
            </w:r>
            <w:r>
              <w:rPr>
                <w:rFonts w:hint="eastAsia" w:ascii="Times New Roman" w:hAnsi="Times New Roman" w:eastAsia="仿宋_GB2312" w:cs="仿宋_GB2312"/>
                <w:snapToGrid w:val="0"/>
                <w:color w:val="000000"/>
                <w:sz w:val="20"/>
                <w:szCs w:val="20"/>
              </w:rPr>
              <w:t>条“</w:t>
            </w:r>
            <w:r>
              <w:rPr>
                <w:rFonts w:hint="eastAsia" w:ascii="仿宋_GB2312" w:hAnsi="仿宋_GB2312" w:eastAsia="仿宋_GB2312" w:cs="仿宋_GB2312"/>
                <w:snapToGrid w:val="0"/>
                <w:color w:val="000000"/>
                <w:sz w:val="20"/>
                <w:szCs w:val="20"/>
              </w:rPr>
              <w:t>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Times New Roman" w:hAnsi="Times New Roman" w:eastAsia="仿宋_GB2312" w:cs="仿宋_GB2312"/>
                <w:snapToGrid w:val="0"/>
                <w:color w:val="000000"/>
                <w:sz w:val="20"/>
                <w:szCs w:val="20"/>
              </w:rPr>
              <w:t>”</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法律法规规定的免责情形以及市委、市政府有关文件中明确的免责情形。</w:t>
            </w:r>
          </w:p>
        </w:tc>
        <w:tc>
          <w:tcPr>
            <w:tcW w:w="4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r>
      <w:tr>
        <w:tblPrEx>
          <w:tblCellMar>
            <w:top w:w="28" w:type="dxa"/>
            <w:left w:w="28" w:type="dxa"/>
            <w:bottom w:w="28" w:type="dxa"/>
            <w:right w:w="28" w:type="dxa"/>
          </w:tblCellMar>
        </w:tblPrEx>
        <w:trPr>
          <w:trHeight w:val="12758" w:hRule="atLeast"/>
          <w:jc w:val="center"/>
        </w:trPr>
        <w:tc>
          <w:tcPr>
            <w:tcW w:w="2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124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217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p>
        </w:tc>
        <w:tc>
          <w:tcPr>
            <w:tcW w:w="445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p>
        </w:tc>
        <w:tc>
          <w:tcPr>
            <w:tcW w:w="5690" w:type="dxa"/>
            <w:tcBorders>
              <w:top w:val="single" w:color="auto" w:sz="4" w:space="0"/>
              <w:left w:val="nil"/>
              <w:bottom w:val="single" w:color="auto" w:sz="4" w:space="0"/>
              <w:right w:val="single" w:color="auto" w:sz="4" w:space="0"/>
            </w:tcBorders>
            <w:vAlign w:val="center"/>
          </w:tcPr>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六十四条：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5.【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对情节复杂或者重大违法行为给予行政处罚，行政机关负责人应当集体讨论决定。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6.【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当事人同意并签订确认书的，行政机关可以采用传真、电子邮件等方式，将行政处罚决定书等送达当事人。</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7.【法律】《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p>
          <w:p>
            <w:pPr>
              <w:spacing w:line="300" w:lineRule="exact"/>
              <w:ind w:firstLine="400" w:firstLineChars="200"/>
              <w:rPr>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8.【法律】《中华人民共和国行政处罚法》第七十五条：</w:t>
            </w:r>
            <w:r>
              <w:rPr>
                <w:rFonts w:ascii="仿宋_GB2312" w:hAnsi="仿宋_GB2312" w:eastAsia="仿宋_GB2312" w:cs="仿宋_GB2312"/>
                <w:color w:val="000000" w:themeColor="text1"/>
                <w:sz w:val="20"/>
                <w:szCs w:val="20"/>
                <w14:textFill>
                  <w14:solidFill>
                    <w14:schemeClr w14:val="tx1"/>
                  </w14:solidFill>
                </w14:textFill>
              </w:rPr>
              <w:t>行政机关应当建立健全对行政处罚的监督制度。县级以上人民政府应当定期组织开展行政执法评议、考核，加强对行政处罚的监督检查，规范和保障行政处罚的实施。</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ascii="仿宋_GB2312" w:hAnsi="仿宋_GB2312" w:eastAsia="仿宋_GB2312" w:cs="仿宋_GB2312"/>
                <w:color w:val="000000" w:themeColor="text1"/>
                <w:sz w:val="20"/>
                <w:szCs w:val="20"/>
                <w14:textFill>
                  <w14:solidFill>
                    <w14:schemeClr w14:val="tx1"/>
                  </w14:solidFill>
                </w14:textFill>
              </w:rPr>
              <w:t>行政机关实施行政处罚应当接受社会监督。公民、法人或者其他组织对行政机关实施行政处罚的行为，有权申诉或者检举；行政机</w:t>
            </w:r>
            <w:r>
              <w:rPr>
                <w:rFonts w:hint="eastAsia" w:ascii="仿宋_GB2312" w:hAnsi="仿宋_GB2312" w:eastAsia="仿宋_GB2312" w:cs="仿宋_GB2312"/>
                <w:snapToGrid w:val="0"/>
                <w:color w:val="000000" w:themeColor="text1"/>
                <w:sz w:val="20"/>
                <w:szCs w:val="20"/>
                <w14:textFill>
                  <w14:solidFill>
                    <w14:schemeClr w14:val="tx1"/>
                  </w14:solidFill>
                </w14:textFill>
              </w:rPr>
              <w:t>关应当认真审查，发现有错误的，应当主动改正。</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p>
        </w:tc>
        <w:tc>
          <w:tcPr>
            <w:tcW w:w="26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4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r>
      <w:tr>
        <w:tblPrEx>
          <w:tblCellMar>
            <w:top w:w="28" w:type="dxa"/>
            <w:left w:w="28" w:type="dxa"/>
            <w:bottom w:w="28" w:type="dxa"/>
            <w:right w:w="28" w:type="dxa"/>
          </w:tblCellMar>
        </w:tblPrEx>
        <w:trPr>
          <w:cantSplit/>
          <w:trHeight w:val="12758" w:hRule="atLeast"/>
          <w:jc w:val="center"/>
        </w:trPr>
        <w:tc>
          <w:tcPr>
            <w:tcW w:w="2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黑体" w:cs="黑体"/>
                <w:snapToGrid w:val="0"/>
                <w:color w:val="000000" w:themeColor="text1"/>
                <w:sz w:val="20"/>
                <w:szCs w:val="20"/>
                <w:lang w:val="en-US" w:eastAsia="zh-CN"/>
                <w14:textFill>
                  <w14:solidFill>
                    <w14:schemeClr w14:val="tx1"/>
                  </w14:solidFill>
                </w14:textFill>
              </w:rPr>
            </w:pPr>
            <w:r>
              <w:rPr>
                <w:rFonts w:hint="eastAsia" w:eastAsia="黑体" w:cs="黑体"/>
                <w:snapToGrid w:val="0"/>
                <w:color w:val="000000" w:themeColor="text1"/>
                <w:sz w:val="20"/>
                <w:szCs w:val="20"/>
                <w:lang w:val="en-US" w:eastAsia="zh-CN"/>
                <w14:textFill>
                  <w14:solidFill>
                    <w14:schemeClr w14:val="tx1"/>
                  </w14:solidFill>
                </w14:textFill>
              </w:rPr>
              <w:t>6</w:t>
            </w:r>
          </w:p>
        </w:tc>
        <w:tc>
          <w:tcPr>
            <w:tcW w:w="8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行政处罚</w:t>
            </w:r>
          </w:p>
        </w:tc>
        <w:tc>
          <w:tcPr>
            <w:tcW w:w="124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对使用国家明令淘汰的用能设备或者生产工艺的处罚</w:t>
            </w:r>
          </w:p>
        </w:tc>
        <w:tc>
          <w:tcPr>
            <w:tcW w:w="87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lang w:eastAsia="zh-CN"/>
                <w14:textFill>
                  <w14:solidFill>
                    <w14:schemeClr w14:val="tx1"/>
                  </w14:solidFill>
                </w14:textFill>
              </w:rPr>
              <w:t>柳州市城中区工业和信息化局</w:t>
            </w:r>
          </w:p>
        </w:tc>
        <w:tc>
          <w:tcPr>
            <w:tcW w:w="217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1.【法律】《中华人民共和国节约能源法》第七十一条：使用国家明令淘汰的用能设备或者生产工艺的，由管理节能工作的部门责令停止使用，没收国家明令淘汰的用能设备；情节严重的，可以由管理节能工作的部门提出意见，报请本级人民政府按照国务院规定的权限责令停业整顿或者关闭。</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2.【法律】《中华人民共和国循环经济促进法》第五十条：生产、销售列入淘汰名录的产品、设备的，依照《中华人民共和国产品质量法》的规定处罚。</w:t>
            </w:r>
          </w:p>
          <w:p>
            <w:pPr>
              <w:adjustRightInd w:val="0"/>
              <w:snapToGrid w:val="0"/>
              <w:spacing w:line="300" w:lineRule="exact"/>
              <w:ind w:firstLine="39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使用列入淘汰名录的技术、工艺、设备、材料的，由县级以上地方人民政府循环经济发展综合管理部门责令停止使用，没收违法使用的设备、材料，并处五万元以上二十万元以下的罚款；情节严重的，由县级以上人民政府循环经济发展综合管理部门提出意见，报请本级人民政府按照国务院规定的权限责令停业或者关闭。</w:t>
            </w:r>
          </w:p>
        </w:tc>
        <w:tc>
          <w:tcPr>
            <w:tcW w:w="445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1.立案阶段责任：受案部门在对报案、控告、举报、群众扭送或者违法嫌疑人投案，以及其他行政主管部门、司法机关移送的案件，应当及时受理。</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2.调查阶段责任：受案部门对于立案的案件，指定专人负责调查，与当事人有直接利害关系的应当回避。调查时应出示执法证件，执法人员不得少于二人，执法人员应保守案件秘密。</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3.案件审查阶段责任：受案部门应当对案件违法事实、证据、调查取证程序、法律适用、处罚种类和幅度、当事人陈述和申辩理由等内容进行审查，提出处理意见（主要证据不足的，及时调查补充）。</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4.告知阶段责任：受案部门在做出行政处罚前，应当告知当事人违法事实以及依法享有的陈述、申辩的权利，拟作出责令停产停业、吊销许可证或执照、较大数额罚款的，可以要求听证的权利。</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5.决定阶段责任：受案部门根据案件审查情况决定是否予以行政处罚。依法给予行政处罚的，应当制作行政处罚决定书，载明违法事实和依据、处罚依据和内容、申请行政复议或提起行政诉讼的途径和期限等内容。</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6.送达阶段责任：行政处罚决定书应依法按时送达当事人。</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7.执行阶段责任：监督当事人在决定期限内履行义务；书面催告当事人及时履行处罚决定；依法申请人民法院强制执行。</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8.法律法规规定的其他责任。</w:t>
            </w:r>
          </w:p>
        </w:tc>
        <w:tc>
          <w:tcPr>
            <w:tcW w:w="5690" w:type="dxa"/>
            <w:tcBorders>
              <w:top w:val="single" w:color="auto" w:sz="4" w:space="0"/>
              <w:left w:val="nil"/>
              <w:bottom w:val="single" w:color="auto" w:sz="4" w:space="0"/>
              <w:right w:val="single" w:color="auto" w:sz="4" w:space="0"/>
            </w:tcBorders>
            <w:vAlign w:val="center"/>
          </w:tcPr>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1.【法律】《中华人民共和国行政处罚法》第十七条：行政处罚由具有行政处罚权的行政机关在法定职权范围内实施。</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第二十二条：行政处罚由违法行为发生地的行政机关管辖。法律、行政法规、部门规章另有规定的，从其规定。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当事人或者有关人员应当如实回答询问，并协助调查或者检查，不得拒绝或者阻挠。询问或者检查应当制作笔录。</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2.【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符合立案标准的，行政机关应当及时立案。</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3.【法律】《中华人民共和国行政处罚法》第五十七条：调查终结，行政机关负责人应当对调查结果进行审查，根据不同情况，分别作出如下决定：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（一）确有应受行政处罚的违法行为的，根据情节轻重及具体情况，作出行政处罚决定；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（二）违法行为轻微，依法可以不予行政处罚的，不予行政处罚；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（三）违法事实不能成立的，不予行政处罚；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（四）违法行为涉嫌犯罪的，移送司法机关。</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对情节复杂或者重大违法行为给予行政处罚，行政机关负责人应当集体讨论决定。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第五十八条：有下列情形之一，在行政机关负责人作出行政处罚的决定之前，应当由从事行政处罚决定法制审核的人员进行法制审核；未经法制审核或者审核未通过的，不得作出决定：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（一）涉及重大公共利益的；</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（二）直接关系当事人或者第三人重大权益，经过听证程序的；</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（三）案件情况疑难复杂、涉及多个法律关系的；</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（四）法律、法规规定应当进行法制审核的其他情形。</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行政机关中初次从事行政处罚决定法制审核的人员，应当通过国家统一法律职业资格考试取得法律职业资格。</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4.【法律】《中华人民共和国行政处罚法》第四十四条：行政机关在作出行政处罚决定之前，应当告知当事人拟作出的行政处罚内容及事实、理由、依据，并告知当事人依法享有的陈述、申辩、要求听证等权利。</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第六十三条：行政机关拟作出下列行政处罚决定，应当告知当事人有要求听证的权利，当事人要求听证的，行政机关应当组织听证：</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一）较大数额罚款；（二）没收较大数额违法所得、没收较大价值非法财物；（三）降低资质等级、吊销许可证件；（四）责令停产停业、责令关闭、限制从业；（五）其他较重的行政处罚；（六）法律、法规、规章规定的其他情形。</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当事人不承担行政机关组织听证的费用。</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p>
        </w:tc>
        <w:tc>
          <w:tcPr>
            <w:tcW w:w="26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因不履行或不正确履行行政职责，有下列情形的，行政机关及相关工作人员应承担相应责任：</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1.不按照法定条件或法定程序对违反节能法行为实施行政处罚的；没有法律和事实依据实施行政处罚的；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2.擅自改变处罚幅度、范围的；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3.执法人员玩忽职守，对应当予以制止和处罚的违法行为不予以制止、处罚，致使公民、法人或其他组织的合法利益、公共利益和社会秩序遭受损害的；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4.徇私舞弊、包庇、纵容用能违法行为的；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5.违法对当事人进行处罚不使用罚款、没收财物单据或者使用非法定部门制发的罚款、没收财物单据的；</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6.在行政处罚过程中发生腐败行为的或使用或者损毁扣押的财物，对当事人造成损失的；7.其他违反法律法规和规章以及规范性文件规定的行为。</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1.【法律】《中华人民共和国行政处罚法》第</w:t>
            </w:r>
            <w:r>
              <w:rPr>
                <w:rFonts w:hint="eastAsia" w:ascii="Times New Roman" w:hAnsi="Times New Roman" w:eastAsia="仿宋_GB2312" w:cs="仿宋_GB2312"/>
                <w:snapToGrid w:val="0"/>
                <w:color w:val="000000"/>
                <w:sz w:val="20"/>
                <w:szCs w:val="20"/>
                <w:lang w:eastAsia="zh-CN"/>
              </w:rPr>
              <w:t>七</w:t>
            </w:r>
            <w:r>
              <w:rPr>
                <w:rFonts w:hint="eastAsia" w:ascii="Times New Roman" w:hAnsi="Times New Roman" w:eastAsia="仿宋_GB2312" w:cs="仿宋_GB2312"/>
                <w:snapToGrid w:val="0"/>
                <w:color w:val="000000"/>
                <w:sz w:val="20"/>
                <w:szCs w:val="20"/>
              </w:rPr>
              <w:t>十</w:t>
            </w:r>
            <w:r>
              <w:rPr>
                <w:rFonts w:hint="eastAsia" w:ascii="Times New Roman" w:hAnsi="Times New Roman" w:eastAsia="仿宋_GB2312" w:cs="仿宋_GB2312"/>
                <w:snapToGrid w:val="0"/>
                <w:color w:val="000000"/>
                <w:sz w:val="20"/>
                <w:szCs w:val="20"/>
                <w:lang w:eastAsia="zh-CN"/>
              </w:rPr>
              <w:t>六</w:t>
            </w:r>
            <w:r>
              <w:rPr>
                <w:rFonts w:hint="eastAsia" w:ascii="Times New Roman" w:hAnsi="Times New Roman" w:eastAsia="仿宋_GB2312" w:cs="仿宋_GB2312"/>
                <w:snapToGrid w:val="0"/>
                <w:color w:val="000000"/>
                <w:sz w:val="20"/>
                <w:szCs w:val="20"/>
              </w:rPr>
              <w:t>条“</w:t>
            </w:r>
            <w:r>
              <w:rPr>
                <w:rFonts w:hint="eastAsia" w:ascii="仿宋_GB2312" w:hAnsi="仿宋_GB2312" w:eastAsia="仿宋_GB2312" w:cs="仿宋_GB2312"/>
                <w:snapToGrid w:val="0"/>
                <w:color w:val="000000"/>
                <w:sz w:val="20"/>
                <w:szCs w:val="20"/>
              </w:rPr>
              <w:t>行政机关实施行政处罚，有下列情形之一，由上级行政机关或者有关机关责令改正，对直接负责的主管人员和其他直接责任人员依法给予处分：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（一）没有法定的行政处罚依据的；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（二）擅自改变行政处罚种类、幅度的；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（三）违反法定的行政处罚程序的；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（四）违反本法第二十条关于委托处罚的规定的；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（五）执法人员未取得执法证件的。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Times New Roman" w:hAnsi="Times New Roman" w:eastAsia="仿宋_GB2312" w:cs="仿宋_GB2312"/>
                <w:snapToGrid w:val="0"/>
                <w:color w:val="000000"/>
                <w:sz w:val="20"/>
                <w:szCs w:val="20"/>
                <w:lang w:eastAsia="zh-CN"/>
              </w:rPr>
            </w:pPr>
            <w:r>
              <w:rPr>
                <w:rFonts w:hint="eastAsia" w:ascii="仿宋_GB2312" w:hAnsi="仿宋_GB2312" w:eastAsia="仿宋_GB2312" w:cs="仿宋_GB2312"/>
                <w:snapToGrid w:val="0"/>
                <w:color w:val="000000"/>
                <w:sz w:val="20"/>
                <w:szCs w:val="20"/>
              </w:rPr>
              <w:t>行政机关对符合立案标准的案件不及时立案的，依照前款规定予以处理。</w:t>
            </w:r>
            <w:r>
              <w:rPr>
                <w:rFonts w:hint="eastAsia" w:ascii="仿宋_GB2312" w:hAnsi="仿宋_GB2312" w:eastAsia="仿宋_GB2312" w:cs="仿宋_GB2312"/>
                <w:snapToGrid w:val="0"/>
                <w:color w:val="000000"/>
                <w:sz w:val="20"/>
                <w:szCs w:val="20"/>
                <w:lang w:eastAsia="zh-CN"/>
              </w:rPr>
              <w:t>”</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2.【法律】《中华人民共和国行政处罚法》第</w:t>
            </w:r>
            <w:r>
              <w:rPr>
                <w:rFonts w:hint="eastAsia" w:ascii="Times New Roman" w:hAnsi="Times New Roman" w:eastAsia="仿宋_GB2312" w:cs="仿宋_GB2312"/>
                <w:snapToGrid w:val="0"/>
                <w:color w:val="000000"/>
                <w:sz w:val="20"/>
                <w:szCs w:val="20"/>
                <w:lang w:eastAsia="zh-CN"/>
              </w:rPr>
              <w:t>八</w:t>
            </w:r>
            <w:r>
              <w:rPr>
                <w:rFonts w:hint="eastAsia" w:ascii="Times New Roman" w:hAnsi="Times New Roman" w:eastAsia="仿宋_GB2312" w:cs="仿宋_GB2312"/>
                <w:snapToGrid w:val="0"/>
                <w:color w:val="000000"/>
                <w:sz w:val="20"/>
                <w:szCs w:val="20"/>
              </w:rPr>
              <w:t>十</w:t>
            </w:r>
            <w:r>
              <w:rPr>
                <w:rFonts w:hint="eastAsia" w:ascii="Times New Roman" w:hAnsi="Times New Roman" w:eastAsia="仿宋_GB2312" w:cs="仿宋_GB2312"/>
                <w:snapToGrid w:val="0"/>
                <w:color w:val="000000"/>
                <w:sz w:val="20"/>
                <w:szCs w:val="20"/>
                <w:lang w:eastAsia="zh-CN"/>
              </w:rPr>
              <w:t>三</w:t>
            </w:r>
            <w:r>
              <w:rPr>
                <w:rFonts w:hint="eastAsia" w:ascii="Times New Roman" w:hAnsi="Times New Roman" w:eastAsia="仿宋_GB2312" w:cs="仿宋_GB2312"/>
                <w:snapToGrid w:val="0"/>
                <w:color w:val="000000"/>
                <w:sz w:val="20"/>
                <w:szCs w:val="20"/>
              </w:rPr>
              <w:t>条“</w:t>
            </w:r>
            <w:r>
              <w:rPr>
                <w:rFonts w:hint="eastAsia" w:ascii="仿宋_GB2312" w:hAnsi="仿宋_GB2312" w:eastAsia="仿宋_GB2312" w:cs="仿宋_GB2312"/>
                <w:snapToGrid w:val="0"/>
                <w:color w:val="000000"/>
                <w:sz w:val="20"/>
                <w:szCs w:val="20"/>
              </w:rPr>
              <w:t>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Times New Roman" w:hAnsi="Times New Roman" w:eastAsia="仿宋_GB2312" w:cs="仿宋_GB2312"/>
                <w:snapToGrid w:val="0"/>
                <w:color w:val="000000"/>
                <w:sz w:val="20"/>
                <w:szCs w:val="20"/>
              </w:rPr>
              <w:t>”</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法律法规规定的免责情形以及市委、市政府有关文件中明确的免责情形。</w:t>
            </w:r>
          </w:p>
        </w:tc>
        <w:tc>
          <w:tcPr>
            <w:tcW w:w="4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r>
      <w:tr>
        <w:tblPrEx>
          <w:tblCellMar>
            <w:top w:w="28" w:type="dxa"/>
            <w:left w:w="28" w:type="dxa"/>
            <w:bottom w:w="28" w:type="dxa"/>
            <w:right w:w="28" w:type="dxa"/>
          </w:tblCellMar>
        </w:tblPrEx>
        <w:trPr>
          <w:cantSplit/>
          <w:trHeight w:val="12758" w:hRule="atLeast"/>
          <w:jc w:val="center"/>
        </w:trPr>
        <w:tc>
          <w:tcPr>
            <w:tcW w:w="2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124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217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p>
        </w:tc>
        <w:tc>
          <w:tcPr>
            <w:tcW w:w="445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p>
        </w:tc>
        <w:tc>
          <w:tcPr>
            <w:tcW w:w="5690" w:type="dxa"/>
            <w:tcBorders>
              <w:top w:val="single" w:color="auto" w:sz="4" w:space="0"/>
              <w:left w:val="nil"/>
              <w:bottom w:val="single" w:color="auto" w:sz="4" w:space="0"/>
              <w:right w:val="single" w:color="auto" w:sz="4" w:space="0"/>
            </w:tcBorders>
            <w:vAlign w:val="center"/>
          </w:tcPr>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六十四条：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5.【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对情节复杂或者重大违法行为给予行政处罚，行政机关负责人应当集体讨论决定。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6.【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当事人同意并签订确认书的，行政机关可以采用传真、电子邮件等方式，将行政处罚决定书等送达当事人。</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7.【法律】《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p>
          <w:p>
            <w:pPr>
              <w:spacing w:line="300" w:lineRule="exact"/>
              <w:ind w:firstLine="400" w:firstLineChars="200"/>
              <w:rPr>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8.【法律】《中华人民共和国行政处罚法》第七十五条：</w:t>
            </w:r>
            <w:r>
              <w:rPr>
                <w:rFonts w:ascii="仿宋_GB2312" w:hAnsi="仿宋_GB2312" w:eastAsia="仿宋_GB2312" w:cs="仿宋_GB2312"/>
                <w:color w:val="000000" w:themeColor="text1"/>
                <w:sz w:val="20"/>
                <w:szCs w:val="20"/>
                <w14:textFill>
                  <w14:solidFill>
                    <w14:schemeClr w14:val="tx1"/>
                  </w14:solidFill>
                </w14:textFill>
              </w:rPr>
              <w:t>行政机关应当建立健全对行政处罚的监督制度。县级以上人民政府应当定期组织开展行政执法评议、考核，加强对行政处罚的监督检查，规范和保障行政处罚的实施。</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ascii="仿宋_GB2312" w:hAnsi="仿宋_GB2312" w:eastAsia="仿宋_GB2312" w:cs="仿宋_GB2312"/>
                <w:color w:val="000000" w:themeColor="text1"/>
                <w:sz w:val="20"/>
                <w:szCs w:val="20"/>
                <w14:textFill>
                  <w14:solidFill>
                    <w14:schemeClr w14:val="tx1"/>
                  </w14:solidFill>
                </w14:textFill>
              </w:rPr>
              <w:t>行政机关实施行政处罚应当接受社会监督。公民、法人或者其他组织对行政机关实施行政处罚的行为，有权申诉或者检举；行政机</w:t>
            </w:r>
            <w:r>
              <w:rPr>
                <w:rFonts w:hint="eastAsia" w:ascii="仿宋_GB2312" w:hAnsi="仿宋_GB2312" w:eastAsia="仿宋_GB2312" w:cs="仿宋_GB2312"/>
                <w:snapToGrid w:val="0"/>
                <w:color w:val="000000" w:themeColor="text1"/>
                <w:sz w:val="20"/>
                <w:szCs w:val="20"/>
                <w14:textFill>
                  <w14:solidFill>
                    <w14:schemeClr w14:val="tx1"/>
                  </w14:solidFill>
                </w14:textFill>
              </w:rPr>
              <w:t>关应当认真审查，发现有错误的，应当主动改正。</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p>
        </w:tc>
        <w:tc>
          <w:tcPr>
            <w:tcW w:w="26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4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r>
      <w:tr>
        <w:tblPrEx>
          <w:tblCellMar>
            <w:top w:w="28" w:type="dxa"/>
            <w:left w:w="28" w:type="dxa"/>
            <w:bottom w:w="28" w:type="dxa"/>
            <w:right w:w="28" w:type="dxa"/>
          </w:tblCellMar>
        </w:tblPrEx>
        <w:trPr>
          <w:cantSplit/>
          <w:trHeight w:val="12758" w:hRule="atLeast"/>
          <w:jc w:val="center"/>
        </w:trPr>
        <w:tc>
          <w:tcPr>
            <w:tcW w:w="2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黑体" w:cs="黑体"/>
                <w:snapToGrid w:val="0"/>
                <w:color w:val="000000" w:themeColor="text1"/>
                <w:sz w:val="20"/>
                <w:szCs w:val="20"/>
                <w:lang w:val="en-US" w:eastAsia="zh-CN"/>
                <w14:textFill>
                  <w14:solidFill>
                    <w14:schemeClr w14:val="tx1"/>
                  </w14:solidFill>
                </w14:textFill>
              </w:rPr>
            </w:pPr>
            <w:r>
              <w:rPr>
                <w:rFonts w:hint="eastAsia" w:eastAsia="黑体" w:cs="黑体"/>
                <w:snapToGrid w:val="0"/>
                <w:color w:val="000000" w:themeColor="text1"/>
                <w:sz w:val="20"/>
                <w:szCs w:val="20"/>
                <w:lang w:val="en-US" w:eastAsia="zh-CN"/>
                <w14:textFill>
                  <w14:solidFill>
                    <w14:schemeClr w14:val="tx1"/>
                  </w14:solidFill>
                </w14:textFill>
              </w:rPr>
              <w:t>7</w:t>
            </w:r>
          </w:p>
        </w:tc>
        <w:tc>
          <w:tcPr>
            <w:tcW w:w="8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行政处罚</w:t>
            </w:r>
          </w:p>
        </w:tc>
        <w:tc>
          <w:tcPr>
            <w:tcW w:w="124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对生产单位超过单位产品能耗限额标准用能的处罚</w:t>
            </w:r>
          </w:p>
        </w:tc>
        <w:tc>
          <w:tcPr>
            <w:tcW w:w="87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lang w:eastAsia="zh-CN"/>
                <w14:textFill>
                  <w14:solidFill>
                    <w14:schemeClr w14:val="tx1"/>
                  </w14:solidFill>
                </w14:textFill>
              </w:rPr>
              <w:t>柳州市城中区工业和信息化局</w:t>
            </w:r>
          </w:p>
        </w:tc>
        <w:tc>
          <w:tcPr>
            <w:tcW w:w="217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【法律】《中华人民共和国节约能源法》第十二条：县级以上人民政府管理节能工作的部门和有关部门应当在各自的职责范围内，加强对节能法律、法规和节能标准执行情况的监督检查，依法查处违法用能行为。</w:t>
            </w:r>
          </w:p>
          <w:p>
            <w:pPr>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第七十二条：生产单位超过单位产品能耗限额标准用能，情节严重，经限期治理逾期不治理或者没有达到治理要求的，可以由管理节能工作的部门提出意见，报请本级人民政府按照国务院规定的权限责令停业整顿或者关闭。</w:t>
            </w:r>
          </w:p>
        </w:tc>
        <w:tc>
          <w:tcPr>
            <w:tcW w:w="445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1.立案阶段责任：受案部门在对报案、控告、举报、群众扭送或者违法嫌疑人投案，以及其他行政主管部门、司法机关移送的案件，应当及时受理。</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2.调查阶段责任：受案部门对于立案的案件，指定专人负责调查，与当事人有直接利害关系的应当回避。调查时应出示执法证件，执法人员不得少于二人，执法人员应保守案件秘密。</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3.案件审查阶段责任：受案部门应当对案件违法事实、证据、调查取证程序、法律适用、处罚种类和幅度、当事人陈述和申辩理由等内容进行审查，提出处理意见（主要证据不足的，及时调查补充）。</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4.告知阶段责任：受案部门在做出行政处罚前，应当告知当事人违法事实以及依法享有的陈述、申辩的权利，拟作出责令停产停业、吊销许可证或执照、较大数额罚款的，可以要求听证的权利。</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5.决定阶段责任：受案部门根据案件审查情况决定是否予以行政处罚。依法给予行政处罚的，应当制作行政处罚决定书，载明违法事实和依据、处罚依据和内容、申请行政复议或提起行政诉讼的途径和期限等内容。</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6.送达阶段责任：行政处罚决定书应依法按时送达当事人。</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7.执行阶段责任：监督当事人在决定期限内履行义务；书面催告当事人及时履行处罚决定；依法申请人民法院强制执行。</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8.法律法规规定的其他责任。</w:t>
            </w:r>
          </w:p>
        </w:tc>
        <w:tc>
          <w:tcPr>
            <w:tcW w:w="5690" w:type="dxa"/>
            <w:tcBorders>
              <w:top w:val="single" w:color="auto" w:sz="4" w:space="0"/>
              <w:left w:val="nil"/>
              <w:bottom w:val="single" w:color="auto" w:sz="4" w:space="0"/>
              <w:right w:val="single" w:color="auto" w:sz="4" w:space="0"/>
            </w:tcBorders>
            <w:vAlign w:val="center"/>
          </w:tcPr>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1.【法律】《中华人民共和国行政处罚法》第十七条：行政处罚由具有行政处罚权的行政机关在法定职权范围内实施。</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第二十二条：行政处罚由违法行为发生地的行政机关管辖。法律、行政法规、部门规章另有规定的，从其规定。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当事人或者有关人员应当如实回答询问，并协助调查或者检查，不得拒绝或者阻挠。询问或者检查应当制作笔录。</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2.【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符合立案标准的，行政机关应当及时立案。</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3.【法律】《中华人民共和国行政处罚法》第五十七条：调查终结，行政机关负责人应当对调查结果进行审查，根据不同情况，分别作出如下决定：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（一）确有应受行政处罚的违法行为的，根据情节轻重及具体情况，作出行政处罚决定；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（二）违法行为轻微，依法可以不予行政处罚的，不予行政处罚；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（三）违法事实不能成立的，不予行政处罚；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（四）违法行为涉嫌犯罪的，移送司法机关。</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对情节复杂或者重大违法行为给予行政处罚，行政机关负责人应当集体讨论决定。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第五十八条：有下列情形之一，在行政机关负责人作出行政处罚的决定之前，应当由从事行政处罚决定法制审核的人员进行法制审核；未经法制审核或者审核未通过的，不得作出决定：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（一）涉及重大公共利益的；</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（二）直接关系当事人或者第三人重大权益，经过听证程序的；</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（三）案件情况疑难复杂、涉及多个法律关系的；</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（四）法律、法规规定应当进行法制审核的其他情形。</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行政机关中初次从事行政处罚决定法制审核的人员，应当通过国家统一法律职业资格考试取得法律职业资格。</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4.【法律】《中华人民共和国行政处罚法》第四十四条：行政机关在作出行政处罚决定之前，应当告知当事人拟作出的行政处罚内容及事实、理由、依据，并告知当事人依法享有的陈述、申辩、要求听证等权利。</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第六十三条：行政机关拟作出下列行政处罚决定，应当告知当事人有要求听证的权利，当事人要求听证的，行政机关应当组织听证：</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一）较大数额罚款；（二）没收较大数额违法所得、没收较大价值非法财物；（三）降低资质等级、吊销许可证件；（四）责令停产停业、责令关闭、限制从业；（五）其他较重的行政处罚；（六）法律、法规、规章规定的其他情形。</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当事人不承担行政机关组织听证的费用。</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p>
        </w:tc>
        <w:tc>
          <w:tcPr>
            <w:tcW w:w="26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因不履行或不正确履行行政职责，有下列情形的，行政机关及相关工作人员应承担相应责任：</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1.不按照法定条件或法定程序对违反节能法行为实施行政处罚的；没有法律和事实依据实施行政处罚的；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2.擅自改变处罚幅度、范围的；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3.执法人员玩忽职守，对应当予以制止和处罚的违法行为不予以制止、处罚，致使公民、法人或其他组织的合法利益、公共利益和社会秩序遭受损害的；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4.徇私舞弊、包庇、纵容用能违法行为的；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5.违法对当事人进行处罚不使用罚款、没收财物单据或者使用非法定部门制发的罚款、没收财物单据的；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6.在行政处罚过程中发生腐败行为的或使用、损毁扣押的财物，对当事人造成损失的；</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7.其他违反法律法规、规章以及规范</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1.【法律】《中华人民共和国行政处罚法》第</w:t>
            </w:r>
            <w:r>
              <w:rPr>
                <w:rFonts w:hint="eastAsia" w:ascii="Times New Roman" w:hAnsi="Times New Roman" w:eastAsia="仿宋_GB2312" w:cs="仿宋_GB2312"/>
                <w:snapToGrid w:val="0"/>
                <w:color w:val="000000"/>
                <w:sz w:val="20"/>
                <w:szCs w:val="20"/>
                <w:lang w:eastAsia="zh-CN"/>
              </w:rPr>
              <w:t>七</w:t>
            </w:r>
            <w:r>
              <w:rPr>
                <w:rFonts w:hint="eastAsia" w:ascii="Times New Roman" w:hAnsi="Times New Roman" w:eastAsia="仿宋_GB2312" w:cs="仿宋_GB2312"/>
                <w:snapToGrid w:val="0"/>
                <w:color w:val="000000"/>
                <w:sz w:val="20"/>
                <w:szCs w:val="20"/>
              </w:rPr>
              <w:t>十</w:t>
            </w:r>
            <w:r>
              <w:rPr>
                <w:rFonts w:hint="eastAsia" w:ascii="Times New Roman" w:hAnsi="Times New Roman" w:eastAsia="仿宋_GB2312" w:cs="仿宋_GB2312"/>
                <w:snapToGrid w:val="0"/>
                <w:color w:val="000000"/>
                <w:sz w:val="20"/>
                <w:szCs w:val="20"/>
                <w:lang w:eastAsia="zh-CN"/>
              </w:rPr>
              <w:t>六</w:t>
            </w:r>
            <w:r>
              <w:rPr>
                <w:rFonts w:hint="eastAsia" w:ascii="Times New Roman" w:hAnsi="Times New Roman" w:eastAsia="仿宋_GB2312" w:cs="仿宋_GB2312"/>
                <w:snapToGrid w:val="0"/>
                <w:color w:val="000000"/>
                <w:sz w:val="20"/>
                <w:szCs w:val="20"/>
              </w:rPr>
              <w:t>条“</w:t>
            </w:r>
            <w:r>
              <w:rPr>
                <w:rFonts w:hint="eastAsia" w:ascii="仿宋_GB2312" w:hAnsi="仿宋_GB2312" w:eastAsia="仿宋_GB2312" w:cs="仿宋_GB2312"/>
                <w:snapToGrid w:val="0"/>
                <w:color w:val="000000"/>
                <w:sz w:val="20"/>
                <w:szCs w:val="20"/>
              </w:rPr>
              <w:t>行政机关实施行政处罚，有下列情形之一，由上级行政机关或者有关机关责令改正，对直接负责的主管人员和其他直接责任人员依法给予处分：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（一）没有法定的行政处罚依据的；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（二）擅自改变行政处罚种类、幅度的；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（三）违反法定的行政处罚程序的；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（四）违反本法第二十条关于委托处罚的规定的；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（五）执法人员未取得执法证件的。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Times New Roman" w:hAnsi="Times New Roman" w:eastAsia="仿宋_GB2312" w:cs="仿宋_GB2312"/>
                <w:snapToGrid w:val="0"/>
                <w:color w:val="000000"/>
                <w:sz w:val="20"/>
                <w:szCs w:val="20"/>
                <w:lang w:eastAsia="zh-CN"/>
              </w:rPr>
            </w:pPr>
            <w:r>
              <w:rPr>
                <w:rFonts w:hint="eastAsia" w:ascii="仿宋_GB2312" w:hAnsi="仿宋_GB2312" w:eastAsia="仿宋_GB2312" w:cs="仿宋_GB2312"/>
                <w:snapToGrid w:val="0"/>
                <w:color w:val="000000"/>
                <w:sz w:val="20"/>
                <w:szCs w:val="20"/>
              </w:rPr>
              <w:t>行政机关对符合立案标准的案件不及时立案的，依照前款规定予以处理。</w:t>
            </w:r>
            <w:r>
              <w:rPr>
                <w:rFonts w:hint="eastAsia" w:ascii="仿宋_GB2312" w:hAnsi="仿宋_GB2312" w:eastAsia="仿宋_GB2312" w:cs="仿宋_GB2312"/>
                <w:snapToGrid w:val="0"/>
                <w:color w:val="000000"/>
                <w:sz w:val="20"/>
                <w:szCs w:val="20"/>
                <w:lang w:eastAsia="zh-CN"/>
              </w:rPr>
              <w:t>”</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2.【法律】《中华人民共和国行政处罚法》第</w:t>
            </w:r>
            <w:r>
              <w:rPr>
                <w:rFonts w:hint="eastAsia" w:ascii="Times New Roman" w:hAnsi="Times New Roman" w:eastAsia="仿宋_GB2312" w:cs="仿宋_GB2312"/>
                <w:snapToGrid w:val="0"/>
                <w:color w:val="000000"/>
                <w:sz w:val="20"/>
                <w:szCs w:val="20"/>
                <w:lang w:eastAsia="zh-CN"/>
              </w:rPr>
              <w:t>八</w:t>
            </w:r>
            <w:r>
              <w:rPr>
                <w:rFonts w:hint="eastAsia" w:ascii="Times New Roman" w:hAnsi="Times New Roman" w:eastAsia="仿宋_GB2312" w:cs="仿宋_GB2312"/>
                <w:snapToGrid w:val="0"/>
                <w:color w:val="000000"/>
                <w:sz w:val="20"/>
                <w:szCs w:val="20"/>
              </w:rPr>
              <w:t>十</w:t>
            </w:r>
            <w:r>
              <w:rPr>
                <w:rFonts w:hint="eastAsia" w:ascii="Times New Roman" w:hAnsi="Times New Roman" w:eastAsia="仿宋_GB2312" w:cs="仿宋_GB2312"/>
                <w:snapToGrid w:val="0"/>
                <w:color w:val="000000"/>
                <w:sz w:val="20"/>
                <w:szCs w:val="20"/>
                <w:lang w:eastAsia="zh-CN"/>
              </w:rPr>
              <w:t>三</w:t>
            </w:r>
            <w:r>
              <w:rPr>
                <w:rFonts w:hint="eastAsia" w:ascii="Times New Roman" w:hAnsi="Times New Roman" w:eastAsia="仿宋_GB2312" w:cs="仿宋_GB2312"/>
                <w:snapToGrid w:val="0"/>
                <w:color w:val="000000"/>
                <w:sz w:val="20"/>
                <w:szCs w:val="20"/>
              </w:rPr>
              <w:t>条“</w:t>
            </w:r>
            <w:r>
              <w:rPr>
                <w:rFonts w:hint="eastAsia" w:ascii="仿宋_GB2312" w:hAnsi="仿宋_GB2312" w:eastAsia="仿宋_GB2312" w:cs="仿宋_GB2312"/>
                <w:snapToGrid w:val="0"/>
                <w:color w:val="000000"/>
                <w:sz w:val="20"/>
                <w:szCs w:val="20"/>
              </w:rPr>
              <w:t>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Times New Roman" w:hAnsi="Times New Roman" w:eastAsia="仿宋_GB2312" w:cs="仿宋_GB2312"/>
                <w:snapToGrid w:val="0"/>
                <w:color w:val="000000"/>
                <w:sz w:val="20"/>
                <w:szCs w:val="20"/>
              </w:rPr>
              <w:t>”</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法律法规规定的免责情形以及市委、市政府有关文件中明确的免责情形。</w:t>
            </w:r>
          </w:p>
        </w:tc>
        <w:tc>
          <w:tcPr>
            <w:tcW w:w="4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r>
      <w:tr>
        <w:tblPrEx>
          <w:tblCellMar>
            <w:top w:w="28" w:type="dxa"/>
            <w:left w:w="28" w:type="dxa"/>
            <w:bottom w:w="28" w:type="dxa"/>
            <w:right w:w="28" w:type="dxa"/>
          </w:tblCellMar>
        </w:tblPrEx>
        <w:trPr>
          <w:cantSplit/>
          <w:trHeight w:val="12758" w:hRule="atLeast"/>
          <w:jc w:val="center"/>
        </w:trPr>
        <w:tc>
          <w:tcPr>
            <w:tcW w:w="2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124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2175" w:type="dxa"/>
            <w:tcBorders>
              <w:top w:val="single" w:color="auto" w:sz="4" w:space="0"/>
              <w:left w:val="nil"/>
              <w:bottom w:val="single" w:color="auto" w:sz="4" w:space="0"/>
              <w:right w:val="single" w:color="auto" w:sz="4" w:space="0"/>
            </w:tcBorders>
            <w:vAlign w:val="center"/>
          </w:tcPr>
          <w:p>
            <w:pPr>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p>
        </w:tc>
        <w:tc>
          <w:tcPr>
            <w:tcW w:w="445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p>
        </w:tc>
        <w:tc>
          <w:tcPr>
            <w:tcW w:w="5690" w:type="dxa"/>
            <w:tcBorders>
              <w:top w:val="single" w:color="auto" w:sz="4" w:space="0"/>
              <w:left w:val="nil"/>
              <w:bottom w:val="single" w:color="auto" w:sz="4" w:space="0"/>
              <w:right w:val="single" w:color="auto" w:sz="4" w:space="0"/>
            </w:tcBorders>
            <w:vAlign w:val="center"/>
          </w:tcPr>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六十四条：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5.【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对情节复杂或者重大违法行为给予行政处罚，行政机关负责人应当集体讨论决定。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6.【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当事人同意并签订确认书的，行政机关可以采用传真、电子邮件等方式，将行政处罚决定书等送达当事人。</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7.【法律】《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p>
          <w:p>
            <w:pPr>
              <w:spacing w:line="300" w:lineRule="exact"/>
              <w:ind w:firstLine="400" w:firstLineChars="200"/>
              <w:rPr>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8.【法律】《中华人民共和国行政处罚法》第七十五条：</w:t>
            </w:r>
            <w:r>
              <w:rPr>
                <w:rFonts w:ascii="仿宋_GB2312" w:hAnsi="仿宋_GB2312" w:eastAsia="仿宋_GB2312" w:cs="仿宋_GB2312"/>
                <w:color w:val="000000" w:themeColor="text1"/>
                <w:sz w:val="20"/>
                <w:szCs w:val="20"/>
                <w14:textFill>
                  <w14:solidFill>
                    <w14:schemeClr w14:val="tx1"/>
                  </w14:solidFill>
                </w14:textFill>
              </w:rPr>
              <w:t>行政机关应当建立健全对行政处罚的监督制度。县级以上人民政府应当定期组织开展行政执法评议、考核，加强对行政处罚的监督检查，规范和保障行政处罚的实施。</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ascii="仿宋_GB2312" w:hAnsi="仿宋_GB2312" w:eastAsia="仿宋_GB2312" w:cs="仿宋_GB2312"/>
                <w:color w:val="000000" w:themeColor="text1"/>
                <w:sz w:val="20"/>
                <w:szCs w:val="20"/>
                <w14:textFill>
                  <w14:solidFill>
                    <w14:schemeClr w14:val="tx1"/>
                  </w14:solidFill>
                </w14:textFill>
              </w:rPr>
              <w:t>行政机关实施行政处罚应当接受社会监督。公民、法人或者其他组织对行政机关实施行政处罚的行为，有权申诉或者检举；行政机</w:t>
            </w:r>
            <w:r>
              <w:rPr>
                <w:rFonts w:hint="eastAsia" w:ascii="仿宋_GB2312" w:hAnsi="仿宋_GB2312" w:eastAsia="仿宋_GB2312" w:cs="仿宋_GB2312"/>
                <w:snapToGrid w:val="0"/>
                <w:color w:val="000000" w:themeColor="text1"/>
                <w:sz w:val="20"/>
                <w:szCs w:val="20"/>
                <w14:textFill>
                  <w14:solidFill>
                    <w14:schemeClr w14:val="tx1"/>
                  </w14:solidFill>
                </w14:textFill>
              </w:rPr>
              <w:t>关应当认真审查，发现有错误的，应当主动改正。</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p>
          <w:p>
            <w:pPr>
              <w:widowControl/>
              <w:adjustRightInd w:val="0"/>
              <w:snapToGrid w:val="0"/>
              <w:spacing w:line="300" w:lineRule="exact"/>
              <w:ind w:firstLine="400" w:firstLineChars="200"/>
              <w:jc w:val="center"/>
              <w:rPr>
                <w:rFonts w:eastAsia="黑体" w:cs="黑体"/>
                <w:snapToGrid w:val="0"/>
                <w:color w:val="000000" w:themeColor="text1"/>
                <w:sz w:val="20"/>
                <w:szCs w:val="20"/>
                <w14:textFill>
                  <w14:solidFill>
                    <w14:schemeClr w14:val="tx1"/>
                  </w14:solidFill>
                </w14:textFill>
              </w:rPr>
            </w:pPr>
          </w:p>
        </w:tc>
        <w:tc>
          <w:tcPr>
            <w:tcW w:w="26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4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r>
      <w:tr>
        <w:tblPrEx>
          <w:tblCellMar>
            <w:top w:w="28" w:type="dxa"/>
            <w:left w:w="28" w:type="dxa"/>
            <w:bottom w:w="28" w:type="dxa"/>
            <w:right w:w="28" w:type="dxa"/>
          </w:tblCellMar>
        </w:tblPrEx>
        <w:trPr>
          <w:cantSplit/>
          <w:trHeight w:val="12758" w:hRule="atLeast"/>
          <w:jc w:val="center"/>
        </w:trPr>
        <w:tc>
          <w:tcPr>
            <w:tcW w:w="2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黑体" w:cs="黑体"/>
                <w:snapToGrid w:val="0"/>
                <w:color w:val="000000" w:themeColor="text1"/>
                <w:sz w:val="20"/>
                <w:szCs w:val="20"/>
                <w:lang w:val="en-US" w:eastAsia="zh-CN"/>
                <w14:textFill>
                  <w14:solidFill>
                    <w14:schemeClr w14:val="tx1"/>
                  </w14:solidFill>
                </w14:textFill>
              </w:rPr>
            </w:pPr>
            <w:r>
              <w:rPr>
                <w:rFonts w:hint="eastAsia" w:eastAsia="黑体" w:cs="黑体"/>
                <w:snapToGrid w:val="0"/>
                <w:color w:val="000000" w:themeColor="text1"/>
                <w:sz w:val="20"/>
                <w:szCs w:val="20"/>
                <w:lang w:val="en-US" w:eastAsia="zh-CN"/>
                <w14:textFill>
                  <w14:solidFill>
                    <w14:schemeClr w14:val="tx1"/>
                  </w14:solidFill>
                </w14:textFill>
              </w:rPr>
              <w:t>8</w:t>
            </w:r>
          </w:p>
        </w:tc>
        <w:tc>
          <w:tcPr>
            <w:tcW w:w="8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行政处罚</w:t>
            </w:r>
          </w:p>
        </w:tc>
        <w:tc>
          <w:tcPr>
            <w:tcW w:w="124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对重点用能单位未按照规定设立能源管理岗位并报管理节能工作的部门和有关部门备案的处罚</w:t>
            </w:r>
          </w:p>
        </w:tc>
        <w:tc>
          <w:tcPr>
            <w:tcW w:w="87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lang w:eastAsia="zh-CN"/>
                <w14:textFill>
                  <w14:solidFill>
                    <w14:schemeClr w14:val="tx1"/>
                  </w14:solidFill>
                </w14:textFill>
              </w:rPr>
              <w:t>柳州市城中区工业和信息化局</w:t>
            </w:r>
          </w:p>
        </w:tc>
        <w:tc>
          <w:tcPr>
            <w:tcW w:w="217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【法律】《中华人民共和国节约能源法》第十二条：县级以上人民政府管理节能工作的部门和有关部门应当在各自的职责范围内，加强对节能法律、法规和节能标准执行情况的监督检查，依法查处违法用能行为。</w:t>
            </w:r>
          </w:p>
          <w:p>
            <w:pPr>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第八十四条：重点用能单位未按照本法规定设立能源管理岗位，聘任能源管理负责人，并报管理节能工作的部门和有关部门备案的，由管理节能工作的部门责令改正；拒不改正的，处一万元以上三万元以下罚款。</w:t>
            </w:r>
          </w:p>
        </w:tc>
        <w:tc>
          <w:tcPr>
            <w:tcW w:w="445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1.立案阶段责任：受案部门在对报案、控告、举报、群众扭送或者违法嫌疑人投案，以及其他行政主管部门、司法机关移送的案件，应当及时受理。</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2.调查阶段责任：受案部门对于立案的案件，指定专人负责调查，与当事人有直接利害关系的应当回避。调查时应出示执法证件，执法人员不得少于二人，执法人员应保守案件秘密。</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3.案件审查阶段责任：受案部门应当对案件违法事实、证据、调查取证程序、法律适用、处罚种类和幅度、当事人陈述和申辩理由等内容进行审查，提出处理意见（主要证据不足的，及时调查补充）。</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4.告知阶段责任：受案部门在做出行政处罚前，应当告知当事人违法事实以及依法享有的陈述、申辩的权利，拟作出责令停产停业、吊销许可证或执照、较大数额罚款的，可以要求听证的权利。</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5.决定阶段责任：受案部门根据案件审查情况决定是否予以行政处罚。依法给予行政处罚的，应当制作行政处罚决定书，载明违法事实和依据、处罚依据和内容、申请行政复议或提起行政诉讼的途径和期限等内容。</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6.送达阶段责任：行政处罚决定书应依法按时送达当事人。</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7.执行阶段责任：监督当事人在决定期限内履行义务；书面催告当事人及时履行处罚决定；依法申请人民法院强制执行。</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8.法律法规规定的其他责任。</w:t>
            </w:r>
          </w:p>
        </w:tc>
        <w:tc>
          <w:tcPr>
            <w:tcW w:w="5690" w:type="dxa"/>
            <w:tcBorders>
              <w:top w:val="single" w:color="auto" w:sz="4" w:space="0"/>
              <w:left w:val="nil"/>
              <w:bottom w:val="single" w:color="auto" w:sz="4" w:space="0"/>
              <w:right w:val="single" w:color="auto" w:sz="4" w:space="0"/>
            </w:tcBorders>
            <w:vAlign w:val="center"/>
          </w:tcPr>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1.【法律】《中华人民共和国行政处罚法》第十七条：行政处罚由具有行政处罚权的行政机关在法定职权范围内实施。</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第二十二条：行政处罚由违法行为发生地的行政机关管辖。法律、行政法规、部门规章另有规定的，从其规定。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当事人或者有关人员应当如实回答询问，并协助调查或者检查，不得拒绝或者阻挠。询问或者检查应当制作笔录。</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2.【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符合立案标准的，行政机关应当及时立案。</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3.【法律】《中华人民共和国行政处罚法》第五十七条：调查终结，行政机关负责人应当对调查结果进行审查，根据不同情况，分别作出如下决定：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（一）确有应受行政处罚的违法行为的，根据情节轻重及具体情况，作出行政处罚决定；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（二）违法行为轻微，依法可以不予行政处罚的，不予行政处罚；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（三）违法事实不能成立的，不予行政处罚；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（四）违法行为涉嫌犯罪的，移送司法机关。</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对情节复杂或者重大违法行为给予行政处罚，行政机关负责人应当集体讨论决定。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第五十八条：有下列情形之一，在行政机关负责人作出行政处罚的决定之前，应当由从事行政处罚决定法制审核的人员进行法制审核；未经法制审核或者审核未通过的，不得作出决定：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（一）涉及重大公共利益的；</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（二）直接关系当事人或者第三人重大权益，经过听证程序的；</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（三）案件情况疑难复杂、涉及多个法律关系的；</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（四）法律、法规规定应当进行法制审核的其他情形。</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行政机关中初次从事行政处罚决定法制审核的人员，应当通过国家统一法律职业资格考试取得法律职业资格。</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4.【法律】《中华人民共和国行政处罚法》第四十四条：行政机关在作出行政处罚决定之前，应当告知当事人拟作出的行政处罚内容及事实、理由、依据，并告知当事人依法享有的陈述、申辩、要求听证等权利。</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第六十三条：行政机关拟作出下列行政处罚决定，应当告知当事人有要求听证的权利，当事人要求听证的，行政机关应当组织听证：</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一）较大数额罚款；（二）没收较大数额违法所得、没收较大价值非法财物；（三）降低资质等级、吊销许可证件；（四）责令停产停业、责令关闭、限制从业；（五）其他较重的行政处罚；（六）法律、法规、规章规定的其他情形。</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当事人不承担行政机关组织听证的费用。</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p>
        </w:tc>
        <w:tc>
          <w:tcPr>
            <w:tcW w:w="26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因不履行或不正确履行行政职责，有下列情形的，行政机关及相关工作人员应承担相应责任：</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1.不按照法定条件或法定程序对违反节能法行为实施行政处罚的；没有法律和事实依据实施行政处罚的；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2.擅自改变处罚幅度、范围的；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3.执法人员玩忽职守，对应当予以制止和处罚的违法行为不予以制止、处罚，致使公民、法人或其他组织的合法利益、公共利益和社会秩序遭受损害的；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4.徇私舞弊、包庇、纵容用能违法行为的；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5.违法对当事人进行处罚不使用罚款、没收财物单据或者使用非法定部门制发的罚款、没收财物单据的；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6.在行政处罚过程中发生腐败行为的或使用、损毁扣押的财物，对当事人造成损失的；</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7.其他违反法律法规、规章以及规范性文件规定的行为。</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1.【法律】《中华人民共和国行政处罚法》第</w:t>
            </w:r>
            <w:r>
              <w:rPr>
                <w:rFonts w:hint="eastAsia" w:ascii="Times New Roman" w:hAnsi="Times New Roman" w:eastAsia="仿宋_GB2312" w:cs="仿宋_GB2312"/>
                <w:snapToGrid w:val="0"/>
                <w:color w:val="000000"/>
                <w:sz w:val="20"/>
                <w:szCs w:val="20"/>
                <w:lang w:eastAsia="zh-CN"/>
              </w:rPr>
              <w:t>七</w:t>
            </w:r>
            <w:r>
              <w:rPr>
                <w:rFonts w:hint="eastAsia" w:ascii="Times New Roman" w:hAnsi="Times New Roman" w:eastAsia="仿宋_GB2312" w:cs="仿宋_GB2312"/>
                <w:snapToGrid w:val="0"/>
                <w:color w:val="000000"/>
                <w:sz w:val="20"/>
                <w:szCs w:val="20"/>
              </w:rPr>
              <w:t>十</w:t>
            </w:r>
            <w:r>
              <w:rPr>
                <w:rFonts w:hint="eastAsia" w:ascii="Times New Roman" w:hAnsi="Times New Roman" w:eastAsia="仿宋_GB2312" w:cs="仿宋_GB2312"/>
                <w:snapToGrid w:val="0"/>
                <w:color w:val="000000"/>
                <w:sz w:val="20"/>
                <w:szCs w:val="20"/>
                <w:lang w:eastAsia="zh-CN"/>
              </w:rPr>
              <w:t>六</w:t>
            </w:r>
            <w:r>
              <w:rPr>
                <w:rFonts w:hint="eastAsia" w:ascii="Times New Roman" w:hAnsi="Times New Roman" w:eastAsia="仿宋_GB2312" w:cs="仿宋_GB2312"/>
                <w:snapToGrid w:val="0"/>
                <w:color w:val="000000"/>
                <w:sz w:val="20"/>
                <w:szCs w:val="20"/>
              </w:rPr>
              <w:t>条“</w:t>
            </w:r>
            <w:r>
              <w:rPr>
                <w:rFonts w:hint="eastAsia" w:ascii="仿宋_GB2312" w:hAnsi="仿宋_GB2312" w:eastAsia="仿宋_GB2312" w:cs="仿宋_GB2312"/>
                <w:snapToGrid w:val="0"/>
                <w:color w:val="000000"/>
                <w:sz w:val="20"/>
                <w:szCs w:val="20"/>
              </w:rPr>
              <w:t>行政机关实施行政处罚，有下列情形之一，由上级行政机关或者有关机关责令改正，对直接负责的主管人员和其他直接责任人员依法给予处分：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（一）没有法定的行政处罚依据的；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（二）擅自改变行政处罚种类、幅度的；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（三）违反法定的行政处罚程序的；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（四）违反本法第二十条关于委托处罚的规定的；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（五）执法人员未取得执法证件的。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Times New Roman" w:hAnsi="Times New Roman" w:eastAsia="仿宋_GB2312" w:cs="仿宋_GB2312"/>
                <w:snapToGrid w:val="0"/>
                <w:color w:val="000000"/>
                <w:sz w:val="20"/>
                <w:szCs w:val="20"/>
                <w:lang w:eastAsia="zh-CN"/>
              </w:rPr>
            </w:pPr>
            <w:r>
              <w:rPr>
                <w:rFonts w:hint="eastAsia" w:ascii="仿宋_GB2312" w:hAnsi="仿宋_GB2312" w:eastAsia="仿宋_GB2312" w:cs="仿宋_GB2312"/>
                <w:snapToGrid w:val="0"/>
                <w:color w:val="000000"/>
                <w:sz w:val="20"/>
                <w:szCs w:val="20"/>
              </w:rPr>
              <w:t>行政机关对符合立案标准的案件不及时立案的，依照前款规定予以处理。</w:t>
            </w:r>
            <w:r>
              <w:rPr>
                <w:rFonts w:hint="eastAsia" w:ascii="仿宋_GB2312" w:hAnsi="仿宋_GB2312" w:eastAsia="仿宋_GB2312" w:cs="仿宋_GB2312"/>
                <w:snapToGrid w:val="0"/>
                <w:color w:val="000000"/>
                <w:sz w:val="20"/>
                <w:szCs w:val="20"/>
                <w:lang w:eastAsia="zh-CN"/>
              </w:rPr>
              <w:t>”</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2.【法律】《中华人民共和国行政处罚法》第</w:t>
            </w:r>
            <w:r>
              <w:rPr>
                <w:rFonts w:hint="eastAsia" w:ascii="Times New Roman" w:hAnsi="Times New Roman" w:eastAsia="仿宋_GB2312" w:cs="仿宋_GB2312"/>
                <w:snapToGrid w:val="0"/>
                <w:color w:val="000000"/>
                <w:sz w:val="20"/>
                <w:szCs w:val="20"/>
                <w:lang w:eastAsia="zh-CN"/>
              </w:rPr>
              <w:t>八</w:t>
            </w:r>
            <w:r>
              <w:rPr>
                <w:rFonts w:hint="eastAsia" w:ascii="Times New Roman" w:hAnsi="Times New Roman" w:eastAsia="仿宋_GB2312" w:cs="仿宋_GB2312"/>
                <w:snapToGrid w:val="0"/>
                <w:color w:val="000000"/>
                <w:sz w:val="20"/>
                <w:szCs w:val="20"/>
              </w:rPr>
              <w:t>十</w:t>
            </w:r>
            <w:r>
              <w:rPr>
                <w:rFonts w:hint="eastAsia" w:ascii="Times New Roman" w:hAnsi="Times New Roman" w:eastAsia="仿宋_GB2312" w:cs="仿宋_GB2312"/>
                <w:snapToGrid w:val="0"/>
                <w:color w:val="000000"/>
                <w:sz w:val="20"/>
                <w:szCs w:val="20"/>
                <w:lang w:eastAsia="zh-CN"/>
              </w:rPr>
              <w:t>三</w:t>
            </w:r>
            <w:r>
              <w:rPr>
                <w:rFonts w:hint="eastAsia" w:ascii="Times New Roman" w:hAnsi="Times New Roman" w:eastAsia="仿宋_GB2312" w:cs="仿宋_GB2312"/>
                <w:snapToGrid w:val="0"/>
                <w:color w:val="000000"/>
                <w:sz w:val="20"/>
                <w:szCs w:val="20"/>
              </w:rPr>
              <w:t>条“</w:t>
            </w:r>
            <w:r>
              <w:rPr>
                <w:rFonts w:hint="eastAsia" w:ascii="仿宋_GB2312" w:hAnsi="仿宋_GB2312" w:eastAsia="仿宋_GB2312" w:cs="仿宋_GB2312"/>
                <w:snapToGrid w:val="0"/>
                <w:color w:val="000000"/>
                <w:sz w:val="20"/>
                <w:szCs w:val="20"/>
              </w:rPr>
              <w:t>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Times New Roman" w:hAnsi="Times New Roman" w:eastAsia="仿宋_GB2312" w:cs="仿宋_GB2312"/>
                <w:snapToGrid w:val="0"/>
                <w:color w:val="000000"/>
                <w:sz w:val="20"/>
                <w:szCs w:val="20"/>
              </w:rPr>
              <w:t>”</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法律法规规定的免责情形以及市委、市政府有关文件中明确的免责情形。</w:t>
            </w:r>
          </w:p>
        </w:tc>
        <w:tc>
          <w:tcPr>
            <w:tcW w:w="4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r>
      <w:tr>
        <w:tblPrEx>
          <w:tblCellMar>
            <w:top w:w="28" w:type="dxa"/>
            <w:left w:w="28" w:type="dxa"/>
            <w:bottom w:w="28" w:type="dxa"/>
            <w:right w:w="28" w:type="dxa"/>
          </w:tblCellMar>
        </w:tblPrEx>
        <w:trPr>
          <w:cantSplit/>
          <w:trHeight w:val="12758" w:hRule="atLeast"/>
          <w:jc w:val="center"/>
        </w:trPr>
        <w:tc>
          <w:tcPr>
            <w:tcW w:w="2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124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2175" w:type="dxa"/>
            <w:tcBorders>
              <w:top w:val="single" w:color="auto" w:sz="4" w:space="0"/>
              <w:left w:val="nil"/>
              <w:bottom w:val="single" w:color="auto" w:sz="4" w:space="0"/>
              <w:right w:val="single" w:color="auto" w:sz="4" w:space="0"/>
            </w:tcBorders>
            <w:vAlign w:val="center"/>
          </w:tcPr>
          <w:p>
            <w:pPr>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p>
        </w:tc>
        <w:tc>
          <w:tcPr>
            <w:tcW w:w="445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p>
        </w:tc>
        <w:tc>
          <w:tcPr>
            <w:tcW w:w="5690" w:type="dxa"/>
            <w:tcBorders>
              <w:top w:val="single" w:color="auto" w:sz="4" w:space="0"/>
              <w:left w:val="nil"/>
              <w:bottom w:val="single" w:color="auto" w:sz="4" w:space="0"/>
              <w:right w:val="single" w:color="auto" w:sz="4" w:space="0"/>
            </w:tcBorders>
            <w:vAlign w:val="center"/>
          </w:tcPr>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六十四条：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5.【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对情节复杂或者重大违法行为给予行政处罚，行政机关负责人应当集体讨论决定。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6.【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当事人同意并签订确认书的，行政机关可以采用传真、电子邮件等方式，将行政处罚决定书等送达当事人。</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7.【法律】《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p>
          <w:p>
            <w:pPr>
              <w:spacing w:line="300" w:lineRule="exact"/>
              <w:ind w:firstLine="400" w:firstLineChars="200"/>
              <w:rPr>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8.【法律】《中华人民共和国行政处罚法》第七十五条：</w:t>
            </w:r>
            <w:r>
              <w:rPr>
                <w:rFonts w:ascii="仿宋_GB2312" w:hAnsi="仿宋_GB2312" w:eastAsia="仿宋_GB2312" w:cs="仿宋_GB2312"/>
                <w:color w:val="000000" w:themeColor="text1"/>
                <w:sz w:val="20"/>
                <w:szCs w:val="20"/>
                <w14:textFill>
                  <w14:solidFill>
                    <w14:schemeClr w14:val="tx1"/>
                  </w14:solidFill>
                </w14:textFill>
              </w:rPr>
              <w:t>行政机关应当建立健全对行政处罚的监督制度。县级以上人民政府应当定期组织开展行政执法评议、考核，加强对行政处罚的监督检查，规范和保障行政处罚的实施。</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ascii="仿宋_GB2312" w:hAnsi="仿宋_GB2312" w:eastAsia="仿宋_GB2312" w:cs="仿宋_GB2312"/>
                <w:color w:val="000000" w:themeColor="text1"/>
                <w:sz w:val="20"/>
                <w:szCs w:val="20"/>
                <w14:textFill>
                  <w14:solidFill>
                    <w14:schemeClr w14:val="tx1"/>
                  </w14:solidFill>
                </w14:textFill>
              </w:rPr>
              <w:t>行政机关实施行政处罚应当接受社会监督。公民、法人或者其他组织对行政机关实施行政处罚的行为，有权申诉或者检举；行政机</w:t>
            </w:r>
            <w:r>
              <w:rPr>
                <w:rFonts w:hint="eastAsia" w:ascii="仿宋_GB2312" w:hAnsi="仿宋_GB2312" w:eastAsia="仿宋_GB2312" w:cs="仿宋_GB2312"/>
                <w:snapToGrid w:val="0"/>
                <w:color w:val="000000" w:themeColor="text1"/>
                <w:sz w:val="20"/>
                <w:szCs w:val="20"/>
                <w14:textFill>
                  <w14:solidFill>
                    <w14:schemeClr w14:val="tx1"/>
                  </w14:solidFill>
                </w14:textFill>
              </w:rPr>
              <w:t>关应当认真审查，发现有错误的，应当主动改正。</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p>
          <w:p>
            <w:pPr>
              <w:widowControl/>
              <w:adjustRightInd w:val="0"/>
              <w:snapToGrid w:val="0"/>
              <w:spacing w:line="300" w:lineRule="exact"/>
              <w:ind w:firstLine="400" w:firstLineChars="200"/>
              <w:jc w:val="center"/>
              <w:rPr>
                <w:rFonts w:eastAsia="黑体" w:cs="黑体"/>
                <w:snapToGrid w:val="0"/>
                <w:color w:val="000000" w:themeColor="text1"/>
                <w:sz w:val="20"/>
                <w:szCs w:val="20"/>
                <w14:textFill>
                  <w14:solidFill>
                    <w14:schemeClr w14:val="tx1"/>
                  </w14:solidFill>
                </w14:textFill>
              </w:rPr>
            </w:pPr>
          </w:p>
        </w:tc>
        <w:tc>
          <w:tcPr>
            <w:tcW w:w="26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4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r>
      <w:tr>
        <w:tblPrEx>
          <w:tblCellMar>
            <w:top w:w="28" w:type="dxa"/>
            <w:left w:w="28" w:type="dxa"/>
            <w:bottom w:w="28" w:type="dxa"/>
            <w:right w:w="28" w:type="dxa"/>
          </w:tblCellMar>
        </w:tblPrEx>
        <w:trPr>
          <w:cantSplit/>
          <w:trHeight w:val="12758" w:hRule="atLeast"/>
          <w:jc w:val="center"/>
        </w:trPr>
        <w:tc>
          <w:tcPr>
            <w:tcW w:w="2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黑体" w:cs="黑体"/>
                <w:snapToGrid w:val="0"/>
                <w:color w:val="000000" w:themeColor="text1"/>
                <w:sz w:val="20"/>
                <w:szCs w:val="20"/>
                <w:lang w:val="en-US" w:eastAsia="zh-CN"/>
                <w14:textFill>
                  <w14:solidFill>
                    <w14:schemeClr w14:val="tx1"/>
                  </w14:solidFill>
                </w14:textFill>
              </w:rPr>
            </w:pPr>
            <w:r>
              <w:rPr>
                <w:rFonts w:hint="eastAsia" w:eastAsia="黑体" w:cs="黑体"/>
                <w:snapToGrid w:val="0"/>
                <w:color w:val="000000" w:themeColor="text1"/>
                <w:sz w:val="20"/>
                <w:szCs w:val="20"/>
                <w:lang w:val="en-US" w:eastAsia="zh-CN"/>
                <w14:textFill>
                  <w14:solidFill>
                    <w14:schemeClr w14:val="tx1"/>
                  </w14:solidFill>
                </w14:textFill>
              </w:rPr>
              <w:t>9</w:t>
            </w:r>
          </w:p>
        </w:tc>
        <w:tc>
          <w:tcPr>
            <w:tcW w:w="8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行政处罚</w:t>
            </w:r>
          </w:p>
        </w:tc>
        <w:tc>
          <w:tcPr>
            <w:tcW w:w="124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对无偿向本单位职工提供能源或者能源消费实行包费制的处罚</w:t>
            </w:r>
          </w:p>
        </w:tc>
        <w:tc>
          <w:tcPr>
            <w:tcW w:w="87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lang w:eastAsia="zh-CN"/>
                <w14:textFill>
                  <w14:solidFill>
                    <w14:schemeClr w14:val="tx1"/>
                  </w14:solidFill>
                </w14:textFill>
              </w:rPr>
              <w:t>柳州市城中区工业和信息化局</w:t>
            </w:r>
          </w:p>
        </w:tc>
        <w:tc>
          <w:tcPr>
            <w:tcW w:w="217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【法律】《中华人民共和国节约能源法》第十二条：县级以上人民政府管理节能工作的部门和有关部门应当在各自的职责范围内，加强对节能法律、法规和节能标准执行情况的监督检查，依法查处违法用能行为。</w:t>
            </w:r>
          </w:p>
          <w:p>
            <w:pPr>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第七十七条：违反本法规定，无偿向本单位职工提供能源或者对能源消费实行包费制的，由管理节能工作的部门责令限期改正；逾期不改正的，处五万元以上二十万元以下罚款。</w:t>
            </w:r>
          </w:p>
        </w:tc>
        <w:tc>
          <w:tcPr>
            <w:tcW w:w="445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1.立案阶段责任：受案部门在对报案、控告、举报、群众扭送或者违法嫌疑人投案，以及其他行政主管部门、司法机关移送的案件，应当及时受理。</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2.调查阶段责任：受案部门对于立案的案件，指定专人负责调查，与当事人有直接利害关系的应当回避。调查时应出示执法证件，执法人员不得少于二人，执法人员应保守案件秘密。</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3.案件审查阶段责任：受案部门应当对案件违法事实、证据、调查取证程序、法律适用、处罚种类和幅度、当事人陈述和申辩理由等内容进行审查，提出处理意见（主要证据不足的，及时调查补充）。</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4.告知阶段责任：受案部门在做出行政处罚前，应当告知当事人违法事实以及依法享有的陈述、申辩的权利，拟作出责令停产停业、吊销许可证或执照、较大数额罚款的，可以要求听证的权利。</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5.决定阶段责任：受案部门根据案件审查情况决定是否予以行政处罚。依法给予行政处罚的，应当制作行政处罚决定书，载明违法事实和依据、处罚依据和内容、申请行政复议或提起行政诉讼的途径和期限等内容。</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6.送达阶段责任：行政处罚决定书应依法按时送达当事人。</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7.执行阶段责任：监督当事人在决定期限内履行义务；书面催告当事人及时履行处罚决定；依法申请人民法院强制执行。</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8.法律法规规定的其他责任。</w:t>
            </w:r>
          </w:p>
        </w:tc>
        <w:tc>
          <w:tcPr>
            <w:tcW w:w="5690" w:type="dxa"/>
            <w:tcBorders>
              <w:top w:val="single" w:color="auto" w:sz="4" w:space="0"/>
              <w:left w:val="nil"/>
              <w:bottom w:val="single" w:color="auto" w:sz="4" w:space="0"/>
              <w:right w:val="single" w:color="auto" w:sz="4" w:space="0"/>
            </w:tcBorders>
            <w:vAlign w:val="center"/>
          </w:tcPr>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1.【法律】《中华人民共和国行政处罚法》第十七条：行政处罚由具有行政处罚权的行政机关在法定职权范围内实施。</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第二十二条：行政处罚由违法行为发生地的行政机关管辖。法律、行政法规、部门规章另有规定的，从其规定。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当事人或者有关人员应当如实回答询问，并协助调查或者检查，不得拒绝或者阻挠。询问或者检查应当制作笔录。</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2.【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符合立案标准的，行政机关应当及时立案。</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3.【法律】《中华人民共和国行政处罚法》第五十七条：调查终结，行政机关负责人应当对调查结果进行审查，根据不同情况，分别作出如下决定：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（一）确有应受行政处罚的违法行为的，根据情节轻重及具体情况，作出行政处罚决定；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（二）违法行为轻微，依法可以不予行政处罚的，不予行政处罚；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（三）违法事实不能成立的，不予行政处罚；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（四）违法行为涉嫌犯罪的，移送司法机关。</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对情节复杂或者重大违法行为给予行政处罚，行政机关负责人应当集体讨论决定。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第五十八条：有下列情形之一，在行政机关负责人作出行政处罚的决定之前，应当由从事行政处罚决定法制审核的人员进行法制审核；未经法制审核或者审核未通过的，不得作出决定：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（一）涉及重大公共利益的；</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（二）直接关系当事人或者第三人重大权益，经过听证程序的；</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（三）案件情况疑难复杂、涉及多个法律关系的；</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（四）法律、法规规定应当进行法制审核的其他情形。</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行政机关中初次从事行政处罚决定法制审核的人员，应当通过国家统一法律职业资格考试取得法律职业资格。</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4.【法律】《中华人民共和国行政处罚法》第四十四条：行政机关在作出行政处罚决定之前，应当告知当事人拟作出的行政处罚内容及事实、理由、依据，并告知当事人依法享有的陈述、申辩、要求听证等权利。</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第六十三条：行政机关拟作出下列行政处罚决定，应当告知当事人有要求听证的权利，当事人要求听证的，行政机关应当组织听证：</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一）较大数额罚款；（二）没收较大数额违法所得、没收较大价值非法财物；（三）降低资质等级、吊销许可证件；（四）责令停产停业、责令关闭、限制从业；（五）其他较重的行政处罚；（六）法律、法规、规章规定的其他情形。</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当事人不承担行政机关组织听证的费用。</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p>
        </w:tc>
        <w:tc>
          <w:tcPr>
            <w:tcW w:w="26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因不履行或不正确履行行政职责，有下列情形的，行政机关及相关工作人员应承担相应责任：</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1.不按照法定条件或法定程序对违反节能法行为实施行政处罚的；没有法律和事实依据实施行政处罚的；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2.擅自改变处罚幅度、范围的；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3.执法人员玩忽职守，对应当予以制止和处罚的违法行为不予以制止、处罚，致使公民、法人或其他组织的合法利益、公共利益和社会秩序遭受损害的；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4.徇私舞弊、包庇、纵容用能违法行为的；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5.违法对当事人进行处罚不使用罚款、没收财物单据或者使用非法定部门制发的罚款、没收财物单据的；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6.在行政处罚过程中发生腐败行为的或使用、损毁扣押的财物，对当事人造成损失的；</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7.其他违反法律法规、规章以及规范性文件</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1.【法律】《中华人民共和国行政处罚法》第</w:t>
            </w:r>
            <w:r>
              <w:rPr>
                <w:rFonts w:hint="eastAsia" w:ascii="Times New Roman" w:hAnsi="Times New Roman" w:eastAsia="仿宋_GB2312" w:cs="仿宋_GB2312"/>
                <w:snapToGrid w:val="0"/>
                <w:color w:val="000000"/>
                <w:sz w:val="20"/>
                <w:szCs w:val="20"/>
                <w:lang w:eastAsia="zh-CN"/>
              </w:rPr>
              <w:t>七</w:t>
            </w:r>
            <w:r>
              <w:rPr>
                <w:rFonts w:hint="eastAsia" w:ascii="Times New Roman" w:hAnsi="Times New Roman" w:eastAsia="仿宋_GB2312" w:cs="仿宋_GB2312"/>
                <w:snapToGrid w:val="0"/>
                <w:color w:val="000000"/>
                <w:sz w:val="20"/>
                <w:szCs w:val="20"/>
              </w:rPr>
              <w:t>十</w:t>
            </w:r>
            <w:r>
              <w:rPr>
                <w:rFonts w:hint="eastAsia" w:ascii="Times New Roman" w:hAnsi="Times New Roman" w:eastAsia="仿宋_GB2312" w:cs="仿宋_GB2312"/>
                <w:snapToGrid w:val="0"/>
                <w:color w:val="000000"/>
                <w:sz w:val="20"/>
                <w:szCs w:val="20"/>
                <w:lang w:eastAsia="zh-CN"/>
              </w:rPr>
              <w:t>六</w:t>
            </w:r>
            <w:r>
              <w:rPr>
                <w:rFonts w:hint="eastAsia" w:ascii="Times New Roman" w:hAnsi="Times New Roman" w:eastAsia="仿宋_GB2312" w:cs="仿宋_GB2312"/>
                <w:snapToGrid w:val="0"/>
                <w:color w:val="000000"/>
                <w:sz w:val="20"/>
                <w:szCs w:val="20"/>
              </w:rPr>
              <w:t>条“</w:t>
            </w:r>
            <w:r>
              <w:rPr>
                <w:rFonts w:hint="eastAsia" w:ascii="仿宋_GB2312" w:hAnsi="仿宋_GB2312" w:eastAsia="仿宋_GB2312" w:cs="仿宋_GB2312"/>
                <w:snapToGrid w:val="0"/>
                <w:color w:val="000000"/>
                <w:sz w:val="20"/>
                <w:szCs w:val="20"/>
              </w:rPr>
              <w:t>行政机关实施行政处罚，有下列情形之一，由上级行政机关或者有关机关责令改正，对直接负责的主管人员和其他直接责任人员依法给予处分：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（一）没有法定的行政处罚依据的；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（二）擅自改变行政处罚种类、幅度的；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（三）违反法定的行政处罚程序的；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（四）违反本法第二十条关于委托处罚的规定的；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（五）执法人员未取得执法证件的。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Times New Roman" w:hAnsi="Times New Roman" w:eastAsia="仿宋_GB2312" w:cs="仿宋_GB2312"/>
                <w:snapToGrid w:val="0"/>
                <w:color w:val="000000"/>
                <w:sz w:val="20"/>
                <w:szCs w:val="20"/>
                <w:lang w:eastAsia="zh-CN"/>
              </w:rPr>
            </w:pPr>
            <w:r>
              <w:rPr>
                <w:rFonts w:hint="eastAsia" w:ascii="仿宋_GB2312" w:hAnsi="仿宋_GB2312" w:eastAsia="仿宋_GB2312" w:cs="仿宋_GB2312"/>
                <w:snapToGrid w:val="0"/>
                <w:color w:val="000000"/>
                <w:sz w:val="20"/>
                <w:szCs w:val="20"/>
              </w:rPr>
              <w:t>行政机关对符合立案标准的案件不及时立案的，依照前款规定予以处理。</w:t>
            </w:r>
            <w:r>
              <w:rPr>
                <w:rFonts w:hint="eastAsia" w:ascii="仿宋_GB2312" w:hAnsi="仿宋_GB2312" w:eastAsia="仿宋_GB2312" w:cs="仿宋_GB2312"/>
                <w:snapToGrid w:val="0"/>
                <w:color w:val="000000"/>
                <w:sz w:val="20"/>
                <w:szCs w:val="20"/>
                <w:lang w:eastAsia="zh-CN"/>
              </w:rPr>
              <w:t>”</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2.【法律】《中华人民共和国行政处罚法》第</w:t>
            </w:r>
            <w:r>
              <w:rPr>
                <w:rFonts w:hint="eastAsia" w:ascii="Times New Roman" w:hAnsi="Times New Roman" w:eastAsia="仿宋_GB2312" w:cs="仿宋_GB2312"/>
                <w:snapToGrid w:val="0"/>
                <w:color w:val="000000"/>
                <w:sz w:val="20"/>
                <w:szCs w:val="20"/>
                <w:lang w:eastAsia="zh-CN"/>
              </w:rPr>
              <w:t>八</w:t>
            </w:r>
            <w:r>
              <w:rPr>
                <w:rFonts w:hint="eastAsia" w:ascii="Times New Roman" w:hAnsi="Times New Roman" w:eastAsia="仿宋_GB2312" w:cs="仿宋_GB2312"/>
                <w:snapToGrid w:val="0"/>
                <w:color w:val="000000"/>
                <w:sz w:val="20"/>
                <w:szCs w:val="20"/>
              </w:rPr>
              <w:t>十</w:t>
            </w:r>
            <w:r>
              <w:rPr>
                <w:rFonts w:hint="eastAsia" w:ascii="Times New Roman" w:hAnsi="Times New Roman" w:eastAsia="仿宋_GB2312" w:cs="仿宋_GB2312"/>
                <w:snapToGrid w:val="0"/>
                <w:color w:val="000000"/>
                <w:sz w:val="20"/>
                <w:szCs w:val="20"/>
                <w:lang w:eastAsia="zh-CN"/>
              </w:rPr>
              <w:t>三</w:t>
            </w:r>
            <w:r>
              <w:rPr>
                <w:rFonts w:hint="eastAsia" w:ascii="Times New Roman" w:hAnsi="Times New Roman" w:eastAsia="仿宋_GB2312" w:cs="仿宋_GB2312"/>
                <w:snapToGrid w:val="0"/>
                <w:color w:val="000000"/>
                <w:sz w:val="20"/>
                <w:szCs w:val="20"/>
              </w:rPr>
              <w:t>条“</w:t>
            </w:r>
            <w:r>
              <w:rPr>
                <w:rFonts w:hint="eastAsia" w:ascii="仿宋_GB2312" w:hAnsi="仿宋_GB2312" w:eastAsia="仿宋_GB2312" w:cs="仿宋_GB2312"/>
                <w:snapToGrid w:val="0"/>
                <w:color w:val="000000"/>
                <w:sz w:val="20"/>
                <w:szCs w:val="20"/>
              </w:rPr>
              <w:t>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Times New Roman" w:hAnsi="Times New Roman" w:eastAsia="仿宋_GB2312" w:cs="仿宋_GB2312"/>
                <w:snapToGrid w:val="0"/>
                <w:color w:val="000000"/>
                <w:sz w:val="20"/>
                <w:szCs w:val="20"/>
              </w:rPr>
              <w:t>”</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法律法规规定的免责情形以及市委、市政府有关文件中明确的免责情形。</w:t>
            </w:r>
          </w:p>
        </w:tc>
        <w:tc>
          <w:tcPr>
            <w:tcW w:w="4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r>
      <w:tr>
        <w:tblPrEx>
          <w:tblCellMar>
            <w:top w:w="28" w:type="dxa"/>
            <w:left w:w="28" w:type="dxa"/>
            <w:bottom w:w="28" w:type="dxa"/>
            <w:right w:w="28" w:type="dxa"/>
          </w:tblCellMar>
        </w:tblPrEx>
        <w:trPr>
          <w:cantSplit/>
          <w:trHeight w:val="12758" w:hRule="atLeast"/>
          <w:jc w:val="center"/>
        </w:trPr>
        <w:tc>
          <w:tcPr>
            <w:tcW w:w="2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124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2175" w:type="dxa"/>
            <w:tcBorders>
              <w:top w:val="single" w:color="auto" w:sz="4" w:space="0"/>
              <w:left w:val="nil"/>
              <w:bottom w:val="single" w:color="auto" w:sz="4" w:space="0"/>
              <w:right w:val="single" w:color="auto" w:sz="4" w:space="0"/>
            </w:tcBorders>
            <w:vAlign w:val="center"/>
          </w:tcPr>
          <w:p>
            <w:pPr>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p>
        </w:tc>
        <w:tc>
          <w:tcPr>
            <w:tcW w:w="445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p>
        </w:tc>
        <w:tc>
          <w:tcPr>
            <w:tcW w:w="5690" w:type="dxa"/>
            <w:tcBorders>
              <w:top w:val="single" w:color="auto" w:sz="4" w:space="0"/>
              <w:left w:val="nil"/>
              <w:bottom w:val="single" w:color="auto" w:sz="4" w:space="0"/>
              <w:right w:val="single" w:color="auto" w:sz="4" w:space="0"/>
            </w:tcBorders>
            <w:vAlign w:val="center"/>
          </w:tcPr>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六十四条：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5.【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对情节复杂或者重大违法行为给予行政处罚，行政机关负责人应当集体讨论决定。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6.【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当事人同意并签订确认书的，行政机关可以采用传真、电子邮件等方式，将行政处罚决定书等送达当事人。</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7.【法律】《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p>
          <w:p>
            <w:pPr>
              <w:spacing w:line="300" w:lineRule="exact"/>
              <w:ind w:firstLine="400" w:firstLineChars="200"/>
              <w:rPr>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8.【法律】《中华人民共和国行政处罚法》第七十五条：</w:t>
            </w:r>
            <w:r>
              <w:rPr>
                <w:rFonts w:ascii="仿宋_GB2312" w:hAnsi="仿宋_GB2312" w:eastAsia="仿宋_GB2312" w:cs="仿宋_GB2312"/>
                <w:color w:val="000000" w:themeColor="text1"/>
                <w:sz w:val="20"/>
                <w:szCs w:val="20"/>
                <w14:textFill>
                  <w14:solidFill>
                    <w14:schemeClr w14:val="tx1"/>
                  </w14:solidFill>
                </w14:textFill>
              </w:rPr>
              <w:t>行政机关应当建立健全对行政处罚的监督制度。县级以上人民政府应当定期组织开展行政执法评议、考核，加强对行政处罚的监督检查，规范和保障行政处罚的实施。</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ascii="仿宋_GB2312" w:hAnsi="仿宋_GB2312" w:eastAsia="仿宋_GB2312" w:cs="仿宋_GB2312"/>
                <w:color w:val="000000" w:themeColor="text1"/>
                <w:sz w:val="20"/>
                <w:szCs w:val="20"/>
                <w14:textFill>
                  <w14:solidFill>
                    <w14:schemeClr w14:val="tx1"/>
                  </w14:solidFill>
                </w14:textFill>
              </w:rPr>
              <w:t>行政机关实施行政处罚应当接受社会监督。公民、法人或者其他组织对行政机关实施行政处罚的行为，有权申诉或者检举；行政机</w:t>
            </w:r>
            <w:r>
              <w:rPr>
                <w:rFonts w:hint="eastAsia" w:ascii="仿宋_GB2312" w:hAnsi="仿宋_GB2312" w:eastAsia="仿宋_GB2312" w:cs="仿宋_GB2312"/>
                <w:snapToGrid w:val="0"/>
                <w:color w:val="000000" w:themeColor="text1"/>
                <w:sz w:val="20"/>
                <w:szCs w:val="20"/>
                <w14:textFill>
                  <w14:solidFill>
                    <w14:schemeClr w14:val="tx1"/>
                  </w14:solidFill>
                </w14:textFill>
              </w:rPr>
              <w:t>关应当认真审查，发现有错误的，应当主动改正。</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p>
          <w:p>
            <w:pPr>
              <w:widowControl/>
              <w:adjustRightInd w:val="0"/>
              <w:snapToGrid w:val="0"/>
              <w:spacing w:line="300" w:lineRule="exact"/>
              <w:ind w:firstLine="400" w:firstLineChars="200"/>
              <w:jc w:val="center"/>
              <w:rPr>
                <w:rFonts w:eastAsia="黑体" w:cs="黑体"/>
                <w:snapToGrid w:val="0"/>
                <w:color w:val="000000" w:themeColor="text1"/>
                <w:sz w:val="20"/>
                <w:szCs w:val="20"/>
                <w14:textFill>
                  <w14:solidFill>
                    <w14:schemeClr w14:val="tx1"/>
                  </w14:solidFill>
                </w14:textFill>
              </w:rPr>
            </w:pPr>
          </w:p>
        </w:tc>
        <w:tc>
          <w:tcPr>
            <w:tcW w:w="26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4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r>
      <w:tr>
        <w:tblPrEx>
          <w:tblCellMar>
            <w:top w:w="28" w:type="dxa"/>
            <w:left w:w="28" w:type="dxa"/>
            <w:bottom w:w="28" w:type="dxa"/>
            <w:right w:w="28" w:type="dxa"/>
          </w:tblCellMar>
        </w:tblPrEx>
        <w:trPr>
          <w:cantSplit/>
          <w:trHeight w:val="12758" w:hRule="atLeast"/>
          <w:jc w:val="center"/>
        </w:trPr>
        <w:tc>
          <w:tcPr>
            <w:tcW w:w="2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黑体" w:cs="黑体"/>
                <w:snapToGrid w:val="0"/>
                <w:color w:val="000000" w:themeColor="text1"/>
                <w:sz w:val="20"/>
                <w:szCs w:val="20"/>
                <w:lang w:val="en-US" w:eastAsia="zh-CN"/>
                <w14:textFill>
                  <w14:solidFill>
                    <w14:schemeClr w14:val="tx1"/>
                  </w14:solidFill>
                </w14:textFill>
              </w:rPr>
            </w:pPr>
            <w:r>
              <w:rPr>
                <w:rFonts w:hint="eastAsia" w:eastAsia="黑体" w:cs="黑体"/>
                <w:snapToGrid w:val="0"/>
                <w:color w:val="000000" w:themeColor="text1"/>
                <w:sz w:val="20"/>
                <w:szCs w:val="20"/>
                <w14:textFill>
                  <w14:solidFill>
                    <w14:schemeClr w14:val="tx1"/>
                  </w14:solidFill>
                </w14:textFill>
              </w:rPr>
              <w:t>1</w:t>
            </w:r>
            <w:r>
              <w:rPr>
                <w:rFonts w:hint="eastAsia" w:eastAsia="黑体" w:cs="黑体"/>
                <w:snapToGrid w:val="0"/>
                <w:color w:val="000000" w:themeColor="text1"/>
                <w:sz w:val="20"/>
                <w:szCs w:val="20"/>
                <w:lang w:val="en-US" w:eastAsia="zh-CN"/>
                <w14:textFill>
                  <w14:solidFill>
                    <w14:schemeClr w14:val="tx1"/>
                  </w14:solidFill>
                </w14:textFill>
              </w:rPr>
              <w:t>0</w:t>
            </w:r>
          </w:p>
        </w:tc>
        <w:tc>
          <w:tcPr>
            <w:tcW w:w="8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行政处罚</w:t>
            </w:r>
          </w:p>
        </w:tc>
        <w:tc>
          <w:tcPr>
            <w:tcW w:w="124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对未按照规定报送能源利用状况报告或者报告内容不实的处罚</w:t>
            </w:r>
          </w:p>
        </w:tc>
        <w:tc>
          <w:tcPr>
            <w:tcW w:w="87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lang w:eastAsia="zh-CN"/>
                <w14:textFill>
                  <w14:solidFill>
                    <w14:schemeClr w14:val="tx1"/>
                  </w14:solidFill>
                </w14:textFill>
              </w:rPr>
              <w:t>柳州市城中区工业和信息化局</w:t>
            </w:r>
          </w:p>
        </w:tc>
        <w:tc>
          <w:tcPr>
            <w:tcW w:w="217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【法律】《中华人民共和国节约能源法》第十二条：县级以上人民政府管理节能工作的部门和有关部门应当在各自的职责范围内，加强对节能法律、法规和节能标准执行情况的监督检查，依法查处违法用能行为。</w:t>
            </w:r>
          </w:p>
          <w:p>
            <w:pPr>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第八十二条：重点用能单位未按照本法规定报送能源利用状况报告或者报告内容不实的，由管理节能工作的部门责令限期改正；逾期不改正的，处一万元以上五万元以下罚款。</w:t>
            </w:r>
          </w:p>
        </w:tc>
        <w:tc>
          <w:tcPr>
            <w:tcW w:w="445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1.立案阶段责任：发现根据举报控告的违法行为或者上报移送的违法案件以及涉嫌违反《中华人民共和国节约能源法》等相关规定的违法行为，及时制止并予以审查，决定是否立案。</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2.调查阶段责任：指定专人负责；依法回避；两人以上出示执法证件；制作笔录、收集证据；允许辩解陈述；保守有关秘密。</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3.审查阶段责任：审理案件调查报告，对案件违法事实、证据、调查取证程序、法律适用、处罚种类和幅度、当事人陈述和申辩理由等方面进行审查，提出处理意见（主要证据不足时，以适当的方式补充调查）。</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4.告知阶段责任：做出行政处罚决定前，应制作《行政处罚告知书》，送达当事人，告知违法事实及其享有的陈述、申辩等权利。拟作出较大数额罚款的，当事人要求听证的，应当组织听证。</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5.决定阶段责任：根据审查情况决定是否予以行政处罚；依法需要给予行政处罚的，应制作行政处罚决定书，载明违法事实和证据、处罚依据和内容、申请行政复议或提起行政诉讼的途径和期限等内容（逾期不履行处罚决定的后果）；符合集体研究的，由集体讨论决定，并按时办结。</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6.送达阶段责任：行政处罚决定书按法律规定的方式送达当事人。</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7.执行阶段责任：监督当事人在决定期限内履行义务；书面催告当事人及时履行处罚决定；依法申请人民法院强制执行。</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8.其他法律法规规章文件规定应履行的责任。</w:t>
            </w:r>
          </w:p>
        </w:tc>
        <w:tc>
          <w:tcPr>
            <w:tcW w:w="5690" w:type="dxa"/>
            <w:tcBorders>
              <w:top w:val="single" w:color="auto" w:sz="4" w:space="0"/>
              <w:left w:val="nil"/>
              <w:bottom w:val="single" w:color="auto" w:sz="4" w:space="0"/>
              <w:right w:val="single" w:color="auto" w:sz="4" w:space="0"/>
            </w:tcBorders>
            <w:vAlign w:val="center"/>
          </w:tcPr>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1.【法律】《中华人民共和国行政处罚法》第十七条：行政处罚由具有行政处罚权的行政机关在法定职权范围内实施。</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第二十二条：行政处罚由违法行为发生地的行政机关管辖。法律、行政法规、部门规章另有规定的，从其规定。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当事人或者有关人员应当如实回答询问，并协助调查或者检查，不得拒绝或者阻挠。询问或者检查应当制作笔录。</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2.【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符合立案标准的，行政机关应当及时立案。</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3.【法律】《中华人民共和国行政处罚法》第五十七条：调查终结，行政机关负责人应当对调查结果进行审查，根据不同情况，分别作出如下决定：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（一）确有应受行政处罚的违法行为的，根据情节轻重及具体情况，作出行政处罚决定；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（二）违法行为轻微，依法可以不予行政处罚的，不予行政处罚；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（三）违法事实不能成立的，不予行政处罚；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（四）违法行为涉嫌犯罪的，移送司法机关。</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对情节复杂或者重大违法行为给予行政处罚，行政机关负责人应当集体讨论决定。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第五十八条：有下列情形之一，在行政机关负责人作出行政处罚的决定之前，应当由从事行政处罚决定法制审核的人员进行法制审核；未经法制审核或者审核未通过的，不得作出决定：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（一）涉及重大公共利益的；</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（二）直接关系当事人或者第三人重大权益，经过听证程序的；</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（三）案件情况疑难复杂、涉及多个法律关系的；</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（四）法律、法规规定应当进行法制审核的其他情形。</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行政机关中初次从事行政处罚决定法制审核的人员，应当通过国家统一法律职业资格考试取得法律职业资格。</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4.【法律】《中华人民共和国行政处罚法》第四十四条：行政机关在作出行政处罚决定之前，应当告知当事人拟作出的行政处罚内容及事实、理由、依据，并告知当事人依法享有的陈述、申辩、要求听证等权利。</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第六十三条：行政机关拟作出下列行政处罚决定，应当告知当事人有要求听证的权利，当事人要求听证的，行政机关应当组织听证：</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一）较大数额罚款；（二）没收较大数额违法所得、没收较大价值非法财物；（三）降低资质等级、吊销许可证件；（四）责令停产停业、责令关闭、限制从业；（五）其他较重的行政处罚；（六）法律、法规、规章规定的其他情形。</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当事人不承担行政机关组织听证的费用。</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p>
        </w:tc>
        <w:tc>
          <w:tcPr>
            <w:tcW w:w="26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因不履行或不正确履行行政职责，有下列情形的，行政机关及相关工作人员应承担相应责任：</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1.不按照法定条件或法定程序对违反节能法行为实施行政处罚的；没有法律和事实依据实施行政处罚的；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2.擅自改变处罚幅度、范围的；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3.执法人员玩忽职守，对应当予以制止和处罚的违法行为不予以制止、处罚，致使公民、法人或其他组织的合法利益、公共利益和社会秩序遭受损害的；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4.徇私舞弊、包庇、纵容用能违法行为的；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5.违法对当事人进行处罚不使用罚款、没收财物单据或者使用非法定部门制发的罚款、没收财物单据的；</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6.在行政处罚过程中发生腐败行为的或使用、损毁扣押的财物，对当事人造成损失的；7.其他违反法律法规、规章以及规范性文件规定的行为。</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1.【法律】《中华人民共和国行政处罚法》第</w:t>
            </w:r>
            <w:r>
              <w:rPr>
                <w:rFonts w:hint="eastAsia" w:ascii="Times New Roman" w:hAnsi="Times New Roman" w:eastAsia="仿宋_GB2312" w:cs="仿宋_GB2312"/>
                <w:snapToGrid w:val="0"/>
                <w:color w:val="000000"/>
                <w:sz w:val="20"/>
                <w:szCs w:val="20"/>
                <w:lang w:eastAsia="zh-CN"/>
              </w:rPr>
              <w:t>七</w:t>
            </w:r>
            <w:r>
              <w:rPr>
                <w:rFonts w:hint="eastAsia" w:ascii="Times New Roman" w:hAnsi="Times New Roman" w:eastAsia="仿宋_GB2312" w:cs="仿宋_GB2312"/>
                <w:snapToGrid w:val="0"/>
                <w:color w:val="000000"/>
                <w:sz w:val="20"/>
                <w:szCs w:val="20"/>
              </w:rPr>
              <w:t>十</w:t>
            </w:r>
            <w:r>
              <w:rPr>
                <w:rFonts w:hint="eastAsia" w:ascii="Times New Roman" w:hAnsi="Times New Roman" w:eastAsia="仿宋_GB2312" w:cs="仿宋_GB2312"/>
                <w:snapToGrid w:val="0"/>
                <w:color w:val="000000"/>
                <w:sz w:val="20"/>
                <w:szCs w:val="20"/>
                <w:lang w:eastAsia="zh-CN"/>
              </w:rPr>
              <w:t>六</w:t>
            </w:r>
            <w:r>
              <w:rPr>
                <w:rFonts w:hint="eastAsia" w:ascii="Times New Roman" w:hAnsi="Times New Roman" w:eastAsia="仿宋_GB2312" w:cs="仿宋_GB2312"/>
                <w:snapToGrid w:val="0"/>
                <w:color w:val="000000"/>
                <w:sz w:val="20"/>
                <w:szCs w:val="20"/>
              </w:rPr>
              <w:t>条“</w:t>
            </w:r>
            <w:r>
              <w:rPr>
                <w:rFonts w:hint="eastAsia" w:ascii="仿宋_GB2312" w:hAnsi="仿宋_GB2312" w:eastAsia="仿宋_GB2312" w:cs="仿宋_GB2312"/>
                <w:snapToGrid w:val="0"/>
                <w:color w:val="000000"/>
                <w:sz w:val="20"/>
                <w:szCs w:val="20"/>
              </w:rPr>
              <w:t>行政机关实施行政处罚，有下列情形之一，由上级行政机关或者有关机关责令改正，对直接负责的主管人员和其他直接责任人员依法给予处分：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（一）没有法定的行政处罚依据的；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（二）擅自改变行政处罚种类、幅度的；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（三）违反法定的行政处罚程序的；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（四）违反本法第二十条关于委托处罚的规定的；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（五）执法人员未取得执法证件的。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Times New Roman" w:hAnsi="Times New Roman" w:eastAsia="仿宋_GB2312" w:cs="仿宋_GB2312"/>
                <w:snapToGrid w:val="0"/>
                <w:color w:val="000000"/>
                <w:sz w:val="20"/>
                <w:szCs w:val="20"/>
                <w:lang w:eastAsia="zh-CN"/>
              </w:rPr>
            </w:pPr>
            <w:r>
              <w:rPr>
                <w:rFonts w:hint="eastAsia" w:ascii="仿宋_GB2312" w:hAnsi="仿宋_GB2312" w:eastAsia="仿宋_GB2312" w:cs="仿宋_GB2312"/>
                <w:snapToGrid w:val="0"/>
                <w:color w:val="000000"/>
                <w:sz w:val="20"/>
                <w:szCs w:val="20"/>
              </w:rPr>
              <w:t>行政机关对符合立案标准的案件不及时立案的，依照前款规定予以处理。</w:t>
            </w:r>
            <w:r>
              <w:rPr>
                <w:rFonts w:hint="eastAsia" w:ascii="仿宋_GB2312" w:hAnsi="仿宋_GB2312" w:eastAsia="仿宋_GB2312" w:cs="仿宋_GB2312"/>
                <w:snapToGrid w:val="0"/>
                <w:color w:val="000000"/>
                <w:sz w:val="20"/>
                <w:szCs w:val="20"/>
                <w:lang w:eastAsia="zh-CN"/>
              </w:rPr>
              <w:t>”</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2.【法律】《中华人民共和国行政处罚法》第</w:t>
            </w:r>
            <w:r>
              <w:rPr>
                <w:rFonts w:hint="eastAsia" w:ascii="Times New Roman" w:hAnsi="Times New Roman" w:eastAsia="仿宋_GB2312" w:cs="仿宋_GB2312"/>
                <w:snapToGrid w:val="0"/>
                <w:color w:val="000000"/>
                <w:sz w:val="20"/>
                <w:szCs w:val="20"/>
                <w:lang w:eastAsia="zh-CN"/>
              </w:rPr>
              <w:t>八</w:t>
            </w:r>
            <w:r>
              <w:rPr>
                <w:rFonts w:hint="eastAsia" w:ascii="Times New Roman" w:hAnsi="Times New Roman" w:eastAsia="仿宋_GB2312" w:cs="仿宋_GB2312"/>
                <w:snapToGrid w:val="0"/>
                <w:color w:val="000000"/>
                <w:sz w:val="20"/>
                <w:szCs w:val="20"/>
              </w:rPr>
              <w:t>十</w:t>
            </w:r>
            <w:r>
              <w:rPr>
                <w:rFonts w:hint="eastAsia" w:ascii="Times New Roman" w:hAnsi="Times New Roman" w:eastAsia="仿宋_GB2312" w:cs="仿宋_GB2312"/>
                <w:snapToGrid w:val="0"/>
                <w:color w:val="000000"/>
                <w:sz w:val="20"/>
                <w:szCs w:val="20"/>
                <w:lang w:eastAsia="zh-CN"/>
              </w:rPr>
              <w:t>三</w:t>
            </w:r>
            <w:r>
              <w:rPr>
                <w:rFonts w:hint="eastAsia" w:ascii="Times New Roman" w:hAnsi="Times New Roman" w:eastAsia="仿宋_GB2312" w:cs="仿宋_GB2312"/>
                <w:snapToGrid w:val="0"/>
                <w:color w:val="000000"/>
                <w:sz w:val="20"/>
                <w:szCs w:val="20"/>
              </w:rPr>
              <w:t>条“</w:t>
            </w:r>
            <w:r>
              <w:rPr>
                <w:rFonts w:hint="eastAsia" w:ascii="仿宋_GB2312" w:hAnsi="仿宋_GB2312" w:eastAsia="仿宋_GB2312" w:cs="仿宋_GB2312"/>
                <w:snapToGrid w:val="0"/>
                <w:color w:val="000000"/>
                <w:sz w:val="20"/>
                <w:szCs w:val="20"/>
              </w:rPr>
              <w:t>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Times New Roman" w:hAnsi="Times New Roman" w:eastAsia="仿宋_GB2312" w:cs="仿宋_GB2312"/>
                <w:snapToGrid w:val="0"/>
                <w:color w:val="000000"/>
                <w:sz w:val="20"/>
                <w:szCs w:val="20"/>
              </w:rPr>
              <w:t>”</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法律法规规定的免责情形以及市委、市政府有关文件中明确的免责情形。</w:t>
            </w:r>
          </w:p>
        </w:tc>
        <w:tc>
          <w:tcPr>
            <w:tcW w:w="4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r>
      <w:tr>
        <w:tblPrEx>
          <w:tblCellMar>
            <w:top w:w="28" w:type="dxa"/>
            <w:left w:w="28" w:type="dxa"/>
            <w:bottom w:w="28" w:type="dxa"/>
            <w:right w:w="28" w:type="dxa"/>
          </w:tblCellMar>
        </w:tblPrEx>
        <w:trPr>
          <w:cantSplit/>
          <w:trHeight w:val="12758" w:hRule="atLeast"/>
          <w:jc w:val="center"/>
        </w:trPr>
        <w:tc>
          <w:tcPr>
            <w:tcW w:w="2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124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2175" w:type="dxa"/>
            <w:tcBorders>
              <w:top w:val="single" w:color="auto" w:sz="4" w:space="0"/>
              <w:left w:val="nil"/>
              <w:bottom w:val="single" w:color="auto" w:sz="4" w:space="0"/>
              <w:right w:val="single" w:color="auto" w:sz="4" w:space="0"/>
            </w:tcBorders>
            <w:vAlign w:val="center"/>
          </w:tcPr>
          <w:p>
            <w:pPr>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p>
        </w:tc>
        <w:tc>
          <w:tcPr>
            <w:tcW w:w="445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p>
        </w:tc>
        <w:tc>
          <w:tcPr>
            <w:tcW w:w="5690" w:type="dxa"/>
            <w:tcBorders>
              <w:top w:val="single" w:color="auto" w:sz="4" w:space="0"/>
              <w:left w:val="nil"/>
              <w:bottom w:val="single" w:color="auto" w:sz="4" w:space="0"/>
              <w:right w:val="single" w:color="auto" w:sz="4" w:space="0"/>
            </w:tcBorders>
            <w:vAlign w:val="center"/>
          </w:tcPr>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六十四条：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5.【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对情节复杂或者重大违法行为给予行政处罚，行政机关负责人应当集体讨论决定。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6.【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当事人同意并签订确认书的，行政机关可以采用传真、电子邮件等方式，将行政处罚决定书等送达当事人。</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7.【法律】《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p>
          <w:p>
            <w:pPr>
              <w:spacing w:line="300" w:lineRule="exact"/>
              <w:ind w:firstLine="400" w:firstLineChars="200"/>
              <w:rPr>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8.【法律】《中华人民共和国行政处罚法》第七十五条：</w:t>
            </w:r>
            <w:r>
              <w:rPr>
                <w:rFonts w:ascii="仿宋_GB2312" w:hAnsi="仿宋_GB2312" w:eastAsia="仿宋_GB2312" w:cs="仿宋_GB2312"/>
                <w:color w:val="000000" w:themeColor="text1"/>
                <w:sz w:val="20"/>
                <w:szCs w:val="20"/>
                <w14:textFill>
                  <w14:solidFill>
                    <w14:schemeClr w14:val="tx1"/>
                  </w14:solidFill>
                </w14:textFill>
              </w:rPr>
              <w:t>行政机关应当建立健全对行政处罚的监督制度。县级以上人民政府应当定期组织开展行政执法评议、考核，加强对行政处罚的监督检查，规范和保障行政处罚的实施。</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ascii="仿宋_GB2312" w:hAnsi="仿宋_GB2312" w:eastAsia="仿宋_GB2312" w:cs="仿宋_GB2312"/>
                <w:color w:val="000000" w:themeColor="text1"/>
                <w:sz w:val="20"/>
                <w:szCs w:val="20"/>
                <w14:textFill>
                  <w14:solidFill>
                    <w14:schemeClr w14:val="tx1"/>
                  </w14:solidFill>
                </w14:textFill>
              </w:rPr>
              <w:t>行政机关实施行政处罚应当接受社会监督。公民、法人或者其他组织对行政机关实施行政处罚的行为，有权申诉或者检举；行政机</w:t>
            </w:r>
            <w:r>
              <w:rPr>
                <w:rFonts w:hint="eastAsia" w:ascii="仿宋_GB2312" w:hAnsi="仿宋_GB2312" w:eastAsia="仿宋_GB2312" w:cs="仿宋_GB2312"/>
                <w:snapToGrid w:val="0"/>
                <w:color w:val="000000" w:themeColor="text1"/>
                <w:sz w:val="20"/>
                <w:szCs w:val="20"/>
                <w14:textFill>
                  <w14:solidFill>
                    <w14:schemeClr w14:val="tx1"/>
                  </w14:solidFill>
                </w14:textFill>
              </w:rPr>
              <w:t>关应当认真审查，发现有错误的，应当主动改正。</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p>
          <w:p>
            <w:pPr>
              <w:widowControl/>
              <w:adjustRightInd w:val="0"/>
              <w:snapToGrid w:val="0"/>
              <w:spacing w:line="300" w:lineRule="exact"/>
              <w:ind w:firstLine="400" w:firstLineChars="200"/>
              <w:jc w:val="center"/>
              <w:rPr>
                <w:rFonts w:eastAsia="黑体" w:cs="黑体"/>
                <w:snapToGrid w:val="0"/>
                <w:color w:val="000000" w:themeColor="text1"/>
                <w:sz w:val="20"/>
                <w:szCs w:val="20"/>
                <w14:textFill>
                  <w14:solidFill>
                    <w14:schemeClr w14:val="tx1"/>
                  </w14:solidFill>
                </w14:textFill>
              </w:rPr>
            </w:pPr>
          </w:p>
        </w:tc>
        <w:tc>
          <w:tcPr>
            <w:tcW w:w="26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4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r>
      <w:tr>
        <w:tblPrEx>
          <w:tblCellMar>
            <w:top w:w="28" w:type="dxa"/>
            <w:left w:w="28" w:type="dxa"/>
            <w:bottom w:w="28" w:type="dxa"/>
            <w:right w:w="28" w:type="dxa"/>
          </w:tblCellMar>
        </w:tblPrEx>
        <w:trPr>
          <w:cantSplit/>
          <w:trHeight w:val="12758" w:hRule="atLeast"/>
          <w:jc w:val="center"/>
        </w:trPr>
        <w:tc>
          <w:tcPr>
            <w:tcW w:w="2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黑体" w:cs="黑体"/>
                <w:snapToGrid w:val="0"/>
                <w:color w:val="000000" w:themeColor="text1"/>
                <w:sz w:val="20"/>
                <w:szCs w:val="20"/>
                <w:lang w:val="en-US" w:eastAsia="zh-CN"/>
                <w14:textFill>
                  <w14:solidFill>
                    <w14:schemeClr w14:val="tx1"/>
                  </w14:solidFill>
                </w14:textFill>
              </w:rPr>
            </w:pPr>
            <w:r>
              <w:rPr>
                <w:rFonts w:hint="eastAsia" w:eastAsia="黑体" w:cs="黑体"/>
                <w:snapToGrid w:val="0"/>
                <w:color w:val="000000" w:themeColor="text1"/>
                <w:sz w:val="20"/>
                <w:szCs w:val="20"/>
                <w14:textFill>
                  <w14:solidFill>
                    <w14:schemeClr w14:val="tx1"/>
                  </w14:solidFill>
                </w14:textFill>
              </w:rPr>
              <w:t>1</w:t>
            </w:r>
            <w:r>
              <w:rPr>
                <w:rFonts w:hint="eastAsia" w:eastAsia="黑体" w:cs="黑体"/>
                <w:snapToGrid w:val="0"/>
                <w:color w:val="000000" w:themeColor="text1"/>
                <w:sz w:val="20"/>
                <w:szCs w:val="20"/>
                <w:lang w:val="en-US" w:eastAsia="zh-CN"/>
                <w14:textFill>
                  <w14:solidFill>
                    <w14:schemeClr w14:val="tx1"/>
                  </w14:solidFill>
                </w14:textFill>
              </w:rPr>
              <w:t>1</w:t>
            </w:r>
          </w:p>
        </w:tc>
        <w:tc>
          <w:tcPr>
            <w:tcW w:w="8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行政处罚</w:t>
            </w:r>
          </w:p>
        </w:tc>
        <w:tc>
          <w:tcPr>
            <w:tcW w:w="124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对固定资产投资项目建设单位开工建设不符合强制性节能标准的项目或者将该项目投入生产、使用的处罚</w:t>
            </w:r>
          </w:p>
        </w:tc>
        <w:tc>
          <w:tcPr>
            <w:tcW w:w="87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lang w:eastAsia="zh-CN"/>
                <w14:textFill>
                  <w14:solidFill>
                    <w14:schemeClr w14:val="tx1"/>
                  </w14:solidFill>
                </w14:textFill>
              </w:rPr>
              <w:t>柳州市城中区工业和信息化局</w:t>
            </w:r>
          </w:p>
        </w:tc>
        <w:tc>
          <w:tcPr>
            <w:tcW w:w="217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【法律】《中华人民共和国节约能源法》第十二条：县级以上人民政府管理节能工作的部门和有关部门应当在各自的职责范围内，加强对节能法律、法规和节能标准执行情况的监督检查，依法查处违法用能行为。</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第十五条：国家实行固定资产投资项目节能评估和审查制度。不符合强制性节能标准的项目，建设单位不得开工建设；已经建成的，不得投入生产、使用。政府投资项目不符合强制性节能标准的，依法负责项目审批的机关不得批准建设。具体办法由国务院管理节能工作的部门会同国务院有关部门制定。</w:t>
            </w:r>
          </w:p>
          <w:p>
            <w:pPr>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第六十八条第二款：固定资产投资项目建设单位开工建设不符合强制性节能标准的项目或者将该项目投入生产、使用的，由管理节能工作的部门责令停止建设或者停止生产、使用，限期改造；不能改造或者逾期不改造的生产性项目，由管理节能工作的部门报请本级人民政府按照国务院规定的权限责令关闭。</w:t>
            </w:r>
          </w:p>
        </w:tc>
        <w:tc>
          <w:tcPr>
            <w:tcW w:w="445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1.立案阶段责任：发现根据举报控告的违法行为或者上报移送的违法案件以及涉嫌违反《中华人民共和国节约能源法》等相关规定的违法行为，及时制止并予以审查，决定是否立案。</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2.调查阶段责任：指定专人负责；依法回避；两人以上出示执法证件；制作笔录、收集证据；允许辩解陈述；保守有关秘密。</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3.审查阶段责任：审理案件调查报告，对案件违法事实、证据、调查取证程序、法律适用、处罚种类和幅度、当事人陈述和申辩理由等方面进行审查，提出处理意见（主要证据不足时，以适当的方式补充调查）。</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4.告知阶段责任：做出行政处罚决定前，应制作《行政处罚告知书》，送达当事人，告知违法事实及其享有的陈述、申辩等权利。拟作出责令停产停业、吊销许可证或执照，当事人要求听证的，应当组织听证。</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5.决定阶段责任：根据审查情况决定是否予以行政处罚；依法需要给予行政处罚的，应制作行政处罚决定书，载明违法事实和证据、处罚依据和内容、申请行政复议或提起行政诉讼的途径和期限等内容（逾期不履行处罚决定的后果）；符合集体研究的，由集体讨论决定，并按时办结。</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6.送达阶段责任：行政处罚决定书按法律规定的方式送达当事人。</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7.执行阶段责任：监督当事人在决定期限内履行义务；书面催告当事人及时履行处罚决定；依法申请人民法院强制执行。</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8.其他法律法规规章文件规定应履行的责任。</w:t>
            </w:r>
          </w:p>
        </w:tc>
        <w:tc>
          <w:tcPr>
            <w:tcW w:w="5690" w:type="dxa"/>
            <w:tcBorders>
              <w:top w:val="single" w:color="auto" w:sz="4" w:space="0"/>
              <w:left w:val="nil"/>
              <w:bottom w:val="single" w:color="auto" w:sz="4" w:space="0"/>
              <w:right w:val="single" w:color="auto" w:sz="4" w:space="0"/>
            </w:tcBorders>
            <w:vAlign w:val="center"/>
          </w:tcPr>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1.【法律】《中华人民共和国行政处罚法》第十七条：行政处罚由具有行政处罚权的行政机关在法定职权范围内实施。</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第二十二条：行政处罚由违法行为发生地的行政机关管辖。法律、行政法规、部门规章另有规定的，从其规定。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当事人或者有关人员应当如实回答询问，并协助调查或者检查，不得拒绝或者阻挠。询问或者检查应当制作笔录。</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2.【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符合立案标准的，行政机关应当及时立案。</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3.【法律】《中华人民共和国行政处罚法》第五十七条：调查终结，行政机关负责人应当对调查结果进行审查，根据不同情况，分别作出如下决定：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（一）确有应受行政处罚的违法行为的，根据情节轻重及具体情况，作出行政处罚决定；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（二）违法行为轻微，依法可以不予行政处罚的，不予行政处罚；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（三）违法事实不能成立的，不予行政处罚；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（四）违法行为涉嫌犯罪的，移送司法机关。</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对情节复杂或者重大违法行为给予行政处罚，行政机关负责人应当集体讨论决定。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第五十八条：有下列情形之一，在行政机关负责人作出行政处罚的决定之前，应当由从事行政处罚决定法制审核的人员进行法制审核；未经法制审核或者审核未通过的，不得作出决定：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（一）涉及重大公共利益的；</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（二）直接关系当事人或者第三人重大权益，经过听证程序的；</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（三）案件情况疑难复杂、涉及多个法律关系的；</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（四）法律、法规规定应当进行法制审核的其他情形。</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行政机关中初次从事行政处罚决定法制审核的人员，应当通过国家统一法律职业资格考试取得法律职业资格。</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4.【法律】《中华人民共和国行政处罚法》第四十四条：行政机关在作出行政处罚决定之前，应当告知当事人拟作出的行政处罚内容及事实、理由、依据，并告知当事人依法享有的陈述、申辩、要求听证等权利。</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第六十三条：行政机关拟作出下列行政处罚决定，应当告知当事人有要求听证的权利，当事人要求听证的，行政机关应当组织听证：</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一）较大数额罚款；（二）没收较大数额违法所得、没收较大价值非法财物；（三）降低资质等级、吊销许可证件；（四）责令停产停业、责令关闭、限制从业；（五）其他较重的行政处罚；（六）法律、法规、规章规定的其他情形。</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当事人不承担行政机关组织听证的费用。</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p>
        </w:tc>
        <w:tc>
          <w:tcPr>
            <w:tcW w:w="26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因不履行或不正确履行行政职责，有下列情形的，行政机关及相关工作人员应承担相应责任：</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1.不按照法定条件或法定程序对违反节能法行为实施行政处罚的；没有法律和事实依据实施行政处罚的；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2.擅自改变处罚幅度、范围的；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3.执法人员玩忽职守，对应当予以制止和处罚的违法行为不予以制止、处罚，致使公民、法人或其他组织的合法利益、公共利益和社会秩序遭受损害的；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4.徇私舞弊、包庇、纵容用能违法行为的；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5.违法对当事人进行处罚不使用罚款、没收财物单据或者使用非法定部门制发的罚款、没收财物单据的；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6.在行政处罚过程中发生腐败行为的或使用、损毁扣押的财物，对当事人造成损失的；</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7.其他违反法律法规、规章以及规范性文件规定的行为。</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1.【法律】《中华人民共和国行政处罚法》第</w:t>
            </w:r>
            <w:r>
              <w:rPr>
                <w:rFonts w:hint="eastAsia" w:ascii="Times New Roman" w:hAnsi="Times New Roman" w:eastAsia="仿宋_GB2312" w:cs="仿宋_GB2312"/>
                <w:snapToGrid w:val="0"/>
                <w:color w:val="000000"/>
                <w:sz w:val="20"/>
                <w:szCs w:val="20"/>
                <w:lang w:eastAsia="zh-CN"/>
              </w:rPr>
              <w:t>七</w:t>
            </w:r>
            <w:r>
              <w:rPr>
                <w:rFonts w:hint="eastAsia" w:ascii="Times New Roman" w:hAnsi="Times New Roman" w:eastAsia="仿宋_GB2312" w:cs="仿宋_GB2312"/>
                <w:snapToGrid w:val="0"/>
                <w:color w:val="000000"/>
                <w:sz w:val="20"/>
                <w:szCs w:val="20"/>
              </w:rPr>
              <w:t>十</w:t>
            </w:r>
            <w:r>
              <w:rPr>
                <w:rFonts w:hint="eastAsia" w:ascii="Times New Roman" w:hAnsi="Times New Roman" w:eastAsia="仿宋_GB2312" w:cs="仿宋_GB2312"/>
                <w:snapToGrid w:val="0"/>
                <w:color w:val="000000"/>
                <w:sz w:val="20"/>
                <w:szCs w:val="20"/>
                <w:lang w:eastAsia="zh-CN"/>
              </w:rPr>
              <w:t>六</w:t>
            </w:r>
            <w:r>
              <w:rPr>
                <w:rFonts w:hint="eastAsia" w:ascii="Times New Roman" w:hAnsi="Times New Roman" w:eastAsia="仿宋_GB2312" w:cs="仿宋_GB2312"/>
                <w:snapToGrid w:val="0"/>
                <w:color w:val="000000"/>
                <w:sz w:val="20"/>
                <w:szCs w:val="20"/>
              </w:rPr>
              <w:t>条“</w:t>
            </w:r>
            <w:r>
              <w:rPr>
                <w:rFonts w:hint="eastAsia" w:ascii="仿宋_GB2312" w:hAnsi="仿宋_GB2312" w:eastAsia="仿宋_GB2312" w:cs="仿宋_GB2312"/>
                <w:snapToGrid w:val="0"/>
                <w:color w:val="000000"/>
                <w:sz w:val="20"/>
                <w:szCs w:val="20"/>
              </w:rPr>
              <w:t>行政机关实施行政处罚，有下列情形之一，由上级行政机关或者有关机关责令改正，对直接负责的主管人员和其他直接责任人员依法给予处分：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（一）没有法定的行政处罚依据的；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（二）擅自改变行政处罚种类、幅度的；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（三）违反法定的行政处罚程序的；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（四）违反本法第二十条关于委托处罚的规定的；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（五）执法人员未取得执法证件的。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Times New Roman" w:hAnsi="Times New Roman" w:eastAsia="仿宋_GB2312" w:cs="仿宋_GB2312"/>
                <w:snapToGrid w:val="0"/>
                <w:color w:val="000000"/>
                <w:sz w:val="20"/>
                <w:szCs w:val="20"/>
                <w:lang w:eastAsia="zh-CN"/>
              </w:rPr>
            </w:pPr>
            <w:r>
              <w:rPr>
                <w:rFonts w:hint="eastAsia" w:ascii="仿宋_GB2312" w:hAnsi="仿宋_GB2312" w:eastAsia="仿宋_GB2312" w:cs="仿宋_GB2312"/>
                <w:snapToGrid w:val="0"/>
                <w:color w:val="000000"/>
                <w:sz w:val="20"/>
                <w:szCs w:val="20"/>
              </w:rPr>
              <w:t>行政机关对符合立案标准的案件不及时立案的，依照前款规定予以处理。</w:t>
            </w:r>
            <w:r>
              <w:rPr>
                <w:rFonts w:hint="eastAsia" w:ascii="仿宋_GB2312" w:hAnsi="仿宋_GB2312" w:eastAsia="仿宋_GB2312" w:cs="仿宋_GB2312"/>
                <w:snapToGrid w:val="0"/>
                <w:color w:val="000000"/>
                <w:sz w:val="20"/>
                <w:szCs w:val="20"/>
                <w:lang w:eastAsia="zh-CN"/>
              </w:rPr>
              <w:t>”</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2.【法律】《中华人民共和国行政处罚法》第</w:t>
            </w:r>
            <w:r>
              <w:rPr>
                <w:rFonts w:hint="eastAsia" w:ascii="Times New Roman" w:hAnsi="Times New Roman" w:eastAsia="仿宋_GB2312" w:cs="仿宋_GB2312"/>
                <w:snapToGrid w:val="0"/>
                <w:color w:val="000000"/>
                <w:sz w:val="20"/>
                <w:szCs w:val="20"/>
                <w:lang w:eastAsia="zh-CN"/>
              </w:rPr>
              <w:t>八</w:t>
            </w:r>
            <w:r>
              <w:rPr>
                <w:rFonts w:hint="eastAsia" w:ascii="Times New Roman" w:hAnsi="Times New Roman" w:eastAsia="仿宋_GB2312" w:cs="仿宋_GB2312"/>
                <w:snapToGrid w:val="0"/>
                <w:color w:val="000000"/>
                <w:sz w:val="20"/>
                <w:szCs w:val="20"/>
              </w:rPr>
              <w:t>十</w:t>
            </w:r>
            <w:r>
              <w:rPr>
                <w:rFonts w:hint="eastAsia" w:ascii="Times New Roman" w:hAnsi="Times New Roman" w:eastAsia="仿宋_GB2312" w:cs="仿宋_GB2312"/>
                <w:snapToGrid w:val="0"/>
                <w:color w:val="000000"/>
                <w:sz w:val="20"/>
                <w:szCs w:val="20"/>
                <w:lang w:eastAsia="zh-CN"/>
              </w:rPr>
              <w:t>三</w:t>
            </w:r>
            <w:r>
              <w:rPr>
                <w:rFonts w:hint="eastAsia" w:ascii="Times New Roman" w:hAnsi="Times New Roman" w:eastAsia="仿宋_GB2312" w:cs="仿宋_GB2312"/>
                <w:snapToGrid w:val="0"/>
                <w:color w:val="000000"/>
                <w:sz w:val="20"/>
                <w:szCs w:val="20"/>
              </w:rPr>
              <w:t>条“</w:t>
            </w:r>
            <w:r>
              <w:rPr>
                <w:rFonts w:hint="eastAsia" w:ascii="仿宋_GB2312" w:hAnsi="仿宋_GB2312" w:eastAsia="仿宋_GB2312" w:cs="仿宋_GB2312"/>
                <w:snapToGrid w:val="0"/>
                <w:color w:val="000000"/>
                <w:sz w:val="20"/>
                <w:szCs w:val="20"/>
              </w:rPr>
              <w:t>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Times New Roman" w:hAnsi="Times New Roman" w:eastAsia="仿宋_GB2312" w:cs="仿宋_GB2312"/>
                <w:snapToGrid w:val="0"/>
                <w:color w:val="000000"/>
                <w:sz w:val="20"/>
                <w:szCs w:val="20"/>
              </w:rPr>
              <w:t>”</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法律法规规定的免责情形以及市委、市政府有关文件中明确的免责情形。</w:t>
            </w:r>
          </w:p>
        </w:tc>
        <w:tc>
          <w:tcPr>
            <w:tcW w:w="4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r>
      <w:tr>
        <w:tblPrEx>
          <w:tblCellMar>
            <w:top w:w="28" w:type="dxa"/>
            <w:left w:w="28" w:type="dxa"/>
            <w:bottom w:w="28" w:type="dxa"/>
            <w:right w:w="28" w:type="dxa"/>
          </w:tblCellMar>
        </w:tblPrEx>
        <w:trPr>
          <w:cantSplit/>
          <w:trHeight w:val="12758" w:hRule="atLeast"/>
          <w:jc w:val="center"/>
        </w:trPr>
        <w:tc>
          <w:tcPr>
            <w:tcW w:w="2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124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2175" w:type="dxa"/>
            <w:tcBorders>
              <w:top w:val="single" w:color="auto" w:sz="4" w:space="0"/>
              <w:left w:val="nil"/>
              <w:bottom w:val="single" w:color="auto" w:sz="4" w:space="0"/>
              <w:right w:val="single" w:color="auto" w:sz="4" w:space="0"/>
            </w:tcBorders>
            <w:vAlign w:val="center"/>
          </w:tcPr>
          <w:p>
            <w:pPr>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p>
        </w:tc>
        <w:tc>
          <w:tcPr>
            <w:tcW w:w="445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p>
        </w:tc>
        <w:tc>
          <w:tcPr>
            <w:tcW w:w="5690" w:type="dxa"/>
            <w:tcBorders>
              <w:top w:val="single" w:color="auto" w:sz="4" w:space="0"/>
              <w:left w:val="nil"/>
              <w:bottom w:val="single" w:color="auto" w:sz="4" w:space="0"/>
              <w:right w:val="single" w:color="auto" w:sz="4" w:space="0"/>
            </w:tcBorders>
            <w:vAlign w:val="center"/>
          </w:tcPr>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六十四条：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5.【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对情节复杂或者重大违法行为给予行政处罚，行政机关负责人应当集体讨论决定。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6.【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当事人同意并签订确认书的，行政机关可以采用传真、电子邮件等方式，将行政处罚决定书等送达当事人。</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7.【法律】《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p>
          <w:p>
            <w:pPr>
              <w:spacing w:line="300" w:lineRule="exact"/>
              <w:ind w:firstLine="400" w:firstLineChars="200"/>
              <w:rPr>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8.【法律】《中华人民共和国行政处罚法》第七十五条：</w:t>
            </w:r>
            <w:r>
              <w:rPr>
                <w:rFonts w:ascii="仿宋_GB2312" w:hAnsi="仿宋_GB2312" w:eastAsia="仿宋_GB2312" w:cs="仿宋_GB2312"/>
                <w:color w:val="000000" w:themeColor="text1"/>
                <w:sz w:val="20"/>
                <w:szCs w:val="20"/>
                <w14:textFill>
                  <w14:solidFill>
                    <w14:schemeClr w14:val="tx1"/>
                  </w14:solidFill>
                </w14:textFill>
              </w:rPr>
              <w:t>行政机关应当建立健全对行政处罚的监督制度。县级以上人民政府应当定期组织开展行政执法评议、考核，加强对行政处罚的监督检查，规范和保障行政处罚的实施。</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ascii="仿宋_GB2312" w:hAnsi="仿宋_GB2312" w:eastAsia="仿宋_GB2312" w:cs="仿宋_GB2312"/>
                <w:color w:val="000000" w:themeColor="text1"/>
                <w:sz w:val="20"/>
                <w:szCs w:val="20"/>
                <w14:textFill>
                  <w14:solidFill>
                    <w14:schemeClr w14:val="tx1"/>
                  </w14:solidFill>
                </w14:textFill>
              </w:rPr>
              <w:t>行政机关实施行政处罚应当接受社会监督。公民、法人或者其他组织对行政机关实施行政处罚的行为，有权申诉或者检举；行政机</w:t>
            </w:r>
            <w:r>
              <w:rPr>
                <w:rFonts w:hint="eastAsia" w:ascii="仿宋_GB2312" w:hAnsi="仿宋_GB2312" w:eastAsia="仿宋_GB2312" w:cs="仿宋_GB2312"/>
                <w:snapToGrid w:val="0"/>
                <w:color w:val="000000" w:themeColor="text1"/>
                <w:sz w:val="20"/>
                <w:szCs w:val="20"/>
                <w14:textFill>
                  <w14:solidFill>
                    <w14:schemeClr w14:val="tx1"/>
                  </w14:solidFill>
                </w14:textFill>
              </w:rPr>
              <w:t>关应当认真审查，发现有错误的，应当主动改正。</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p>
          <w:p>
            <w:pPr>
              <w:widowControl/>
              <w:adjustRightInd w:val="0"/>
              <w:snapToGrid w:val="0"/>
              <w:spacing w:line="300" w:lineRule="exact"/>
              <w:ind w:firstLine="400" w:firstLineChars="200"/>
              <w:jc w:val="center"/>
              <w:rPr>
                <w:rFonts w:eastAsia="黑体" w:cs="黑体"/>
                <w:snapToGrid w:val="0"/>
                <w:color w:val="000000" w:themeColor="text1"/>
                <w:sz w:val="20"/>
                <w:szCs w:val="20"/>
                <w14:textFill>
                  <w14:solidFill>
                    <w14:schemeClr w14:val="tx1"/>
                  </w14:solidFill>
                </w14:textFill>
              </w:rPr>
            </w:pPr>
          </w:p>
        </w:tc>
        <w:tc>
          <w:tcPr>
            <w:tcW w:w="26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4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r>
      <w:tr>
        <w:tblPrEx>
          <w:tblCellMar>
            <w:top w:w="28" w:type="dxa"/>
            <w:left w:w="28" w:type="dxa"/>
            <w:bottom w:w="28" w:type="dxa"/>
            <w:right w:w="28" w:type="dxa"/>
          </w:tblCellMar>
        </w:tblPrEx>
        <w:trPr>
          <w:cantSplit/>
          <w:trHeight w:val="12758" w:hRule="atLeast"/>
          <w:jc w:val="center"/>
        </w:trPr>
        <w:tc>
          <w:tcPr>
            <w:tcW w:w="2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黑体" w:cs="黑体"/>
                <w:snapToGrid w:val="0"/>
                <w:color w:val="000000" w:themeColor="text1"/>
                <w:sz w:val="20"/>
                <w:szCs w:val="20"/>
                <w:lang w:val="en-US" w:eastAsia="zh-CN"/>
                <w14:textFill>
                  <w14:solidFill>
                    <w14:schemeClr w14:val="tx1"/>
                  </w14:solidFill>
                </w14:textFill>
              </w:rPr>
            </w:pPr>
            <w:r>
              <w:rPr>
                <w:rFonts w:hint="eastAsia" w:eastAsia="黑体" w:cs="黑体"/>
                <w:snapToGrid w:val="0"/>
                <w:color w:val="000000" w:themeColor="text1"/>
                <w:sz w:val="20"/>
                <w:szCs w:val="20"/>
                <w14:textFill>
                  <w14:solidFill>
                    <w14:schemeClr w14:val="tx1"/>
                  </w14:solidFill>
                </w14:textFill>
              </w:rPr>
              <w:t>1</w:t>
            </w:r>
            <w:r>
              <w:rPr>
                <w:rFonts w:hint="eastAsia" w:eastAsia="黑体" w:cs="黑体"/>
                <w:snapToGrid w:val="0"/>
                <w:color w:val="000000" w:themeColor="text1"/>
                <w:sz w:val="20"/>
                <w:szCs w:val="20"/>
                <w:lang w:val="en-US" w:eastAsia="zh-CN"/>
                <w14:textFill>
                  <w14:solidFill>
                    <w14:schemeClr w14:val="tx1"/>
                  </w14:solidFill>
                </w14:textFill>
              </w:rPr>
              <w:t>2</w:t>
            </w:r>
          </w:p>
        </w:tc>
        <w:tc>
          <w:tcPr>
            <w:tcW w:w="8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行政处罚</w:t>
            </w:r>
          </w:p>
        </w:tc>
        <w:tc>
          <w:tcPr>
            <w:tcW w:w="124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对节能服务机构提供虚假信息的处罚</w:t>
            </w:r>
          </w:p>
        </w:tc>
        <w:tc>
          <w:tcPr>
            <w:tcW w:w="87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lang w:eastAsia="zh-CN"/>
                <w14:textFill>
                  <w14:solidFill>
                    <w14:schemeClr w14:val="tx1"/>
                  </w14:solidFill>
                </w14:textFill>
              </w:rPr>
              <w:t>柳州市城中区工业和信息化局</w:t>
            </w:r>
          </w:p>
        </w:tc>
        <w:tc>
          <w:tcPr>
            <w:tcW w:w="217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【法律】《中华人民共和国节约能源法》第十二条：县级以上人民政府管理节能工作的部门和有关部门应当在各自的职责范围内，加强对节能法律、法规和节能标准执行情况的监督检查，依法查处违法用能行为。</w:t>
            </w:r>
          </w:p>
          <w:p>
            <w:pPr>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第七十六条：从事节能咨询、设计、评估、检测、审计、认证等服务的机构提供虚假信息的，由管理节能工作的部门责令改正，没收违法所得，并处五万元以上十万元以下罚款。</w:t>
            </w:r>
          </w:p>
        </w:tc>
        <w:tc>
          <w:tcPr>
            <w:tcW w:w="445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1.立案阶段责任：发现根据举报控告的违法行为或者上报移送的违法案件以及涉嫌违反《中华人民共和国节约能源法》等相关规定的违法行为，及时制止并予以审查，决定是否立案。</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2.调查阶段责任：指定专人负责；依法回避；两人以上出示执法证件；制作笔录、收集证据；允许辩解陈述；保守有关秘密。</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3.审查阶段责任：审理案件调查报告，对案件违法事实、证据、调查取证程序、法律适用、处罚种类和幅度、当事人陈述和申辩理由等方面进行审查，提出处理意见（主要证据不足时，以适当的方式补充调查）。</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4.告知阶段责任：做出行政处罚决定前，应制作《行政处罚告知书》，送达当事人，告知违法事实及其享有的陈述、申辩等权利。拟作出责令停产停业、吊销许可证或执照、较大数额罚款的，当事人要求听证的，应当组织听证。</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5.决定阶段责任：根据审查情况决定是否予以行政处罚；依法需要给予行政处罚的，应制作行政处罚决定书，载明违法事实和证据、处罚依据和内容、申请行政复议或提起行政诉讼的途径和期限等内容（逾期不履行处罚决定的后果）；符合集体研究的，由集体讨论决定，并按时办结。</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6.送达阶段责任：行政处罚决定书按法律规定的方式送达当事人。</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7.执行阶段责任：监督当事人在决定期限内履行义务；书面催告当事人及时履行处罚决定；依法申请人民法院强制执行。</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8.其他法律法规规章文件规定应履行的责任。</w:t>
            </w:r>
          </w:p>
        </w:tc>
        <w:tc>
          <w:tcPr>
            <w:tcW w:w="5690" w:type="dxa"/>
            <w:tcBorders>
              <w:top w:val="single" w:color="auto" w:sz="4" w:space="0"/>
              <w:left w:val="nil"/>
              <w:bottom w:val="single" w:color="auto" w:sz="4" w:space="0"/>
              <w:right w:val="single" w:color="auto" w:sz="4" w:space="0"/>
            </w:tcBorders>
            <w:vAlign w:val="center"/>
          </w:tcPr>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1.【法律】《中华人民共和国行政处罚法》第十七条：行政处罚由具有行政处罚权的行政机关在法定职权范围内实施。</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第二十二条：行政处罚由违法行为发生地的行政机关管辖。法律、行政法规、部门规章另有规定的，从其规定。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当事人或者有关人员应当如实回答询问，并协助调查或者检查，不得拒绝或者阻挠。询问或者检查应当制作笔录。</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2.【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符合立案标准的，行政机关应当及时立案。</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3.【法律】《中华人民共和国行政处罚法》第五十七条：调查终结，行政机关负责人应当对调查结果进行审查，根据不同情况，分别作出如下决定：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（一）确有应受行政处罚的违法行为的，根据情节轻重及具体情况，作出行政处罚决定；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（二）违法行为轻微，依法可以不予行政处罚的，不予行政处罚；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（三）违法事实不能成立的，不予行政处罚；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（四）违法行为涉嫌犯罪的，移送司法机关。</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对情节复杂或者重大违法行为给予行政处罚，行政机关负责人应当集体讨论决定。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第五十八条：有下列情形之一，在行政机关负责人作出行政处罚的决定之前，应当由从事行政处罚决定法制审核的人员进行法制审核；未经法制审核或者审核未通过的，不得作出决定：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（一）涉及重大公共利益的；</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（二）直接关系当事人或者第三人重大权益，经过听证程序的；</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（三）案件情况疑难复杂、涉及多个法律关系的；</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（四）法律、法规规定应当进行法制审核的其他情形。</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行政机关中初次从事行政处罚决定法制审核的人员，应当通过国家统一法律职业资格考试取得法律职业资格。</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4.【法律】《中华人民共和国行政处罚法》第四十四条：行政机关在作出行政处罚决定之前，应当告知当事人拟作出的行政处罚内容及事实、理由、依据，并告知当事人依法享有的陈述、申辩、要求听证等权利。</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第六十三条：行政机关拟作出下列行政处罚决定，应当告知当事人有要求听证的权利，当事人要求听证的，行政机关应当组织听证：</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一）较大数额罚款；（二）没收较大数额违法所得、没收较大价值非法财物；（三）降低资质等级、吊销许可证件；（四）责令停产停业、责令关闭、限制从业；（五）其他较重的行政处罚；（六）法律、法规、规章规定的其他情形。</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当事人不承担行政机关组织听证的费用。</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p>
        </w:tc>
        <w:tc>
          <w:tcPr>
            <w:tcW w:w="26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因不履行或不正确履行行政职责，有下列情形的，行政机关及相关工作人员应承担相应责任：</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1.不按照法定条件或法定程序对违反节能法行为实施行政处罚的；没有法律和事实依据实施行政处罚的；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2.擅自改变处罚幅度、范围的；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3.执法人员玩忽职守，对应当予以制止和处罚的违法行为不予以制止、处罚，致使公民、法人或其他组织的合法利益、公共利益和社会秩序遭受损害的；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4.徇私舞弊、包庇、纵容用能违法行为的；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5.违法对当事人进行处罚不使用罚款、没收财物单据或者使用非法定部门制发的罚款、没收财物单据的；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6.在行政处罚过程中发生腐败行为的或使用、损毁扣押的财物，对当事人造成损失的；</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7.其他违反法律法规、规章以及规范性文件规定的行为。</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1.【法律】《中华人民共和国行政处罚法》第</w:t>
            </w:r>
            <w:r>
              <w:rPr>
                <w:rFonts w:hint="eastAsia" w:ascii="Times New Roman" w:hAnsi="Times New Roman" w:eastAsia="仿宋_GB2312" w:cs="仿宋_GB2312"/>
                <w:snapToGrid w:val="0"/>
                <w:color w:val="000000"/>
                <w:sz w:val="20"/>
                <w:szCs w:val="20"/>
                <w:lang w:eastAsia="zh-CN"/>
              </w:rPr>
              <w:t>七</w:t>
            </w:r>
            <w:r>
              <w:rPr>
                <w:rFonts w:hint="eastAsia" w:ascii="Times New Roman" w:hAnsi="Times New Roman" w:eastAsia="仿宋_GB2312" w:cs="仿宋_GB2312"/>
                <w:snapToGrid w:val="0"/>
                <w:color w:val="000000"/>
                <w:sz w:val="20"/>
                <w:szCs w:val="20"/>
              </w:rPr>
              <w:t>十</w:t>
            </w:r>
            <w:r>
              <w:rPr>
                <w:rFonts w:hint="eastAsia" w:ascii="Times New Roman" w:hAnsi="Times New Roman" w:eastAsia="仿宋_GB2312" w:cs="仿宋_GB2312"/>
                <w:snapToGrid w:val="0"/>
                <w:color w:val="000000"/>
                <w:sz w:val="20"/>
                <w:szCs w:val="20"/>
                <w:lang w:eastAsia="zh-CN"/>
              </w:rPr>
              <w:t>六</w:t>
            </w:r>
            <w:r>
              <w:rPr>
                <w:rFonts w:hint="eastAsia" w:ascii="Times New Roman" w:hAnsi="Times New Roman" w:eastAsia="仿宋_GB2312" w:cs="仿宋_GB2312"/>
                <w:snapToGrid w:val="0"/>
                <w:color w:val="000000"/>
                <w:sz w:val="20"/>
                <w:szCs w:val="20"/>
              </w:rPr>
              <w:t>条“</w:t>
            </w:r>
            <w:r>
              <w:rPr>
                <w:rFonts w:hint="eastAsia" w:ascii="仿宋_GB2312" w:hAnsi="仿宋_GB2312" w:eastAsia="仿宋_GB2312" w:cs="仿宋_GB2312"/>
                <w:snapToGrid w:val="0"/>
                <w:color w:val="000000"/>
                <w:sz w:val="20"/>
                <w:szCs w:val="20"/>
              </w:rPr>
              <w:t>行政机关实施行政处罚，有下列情形之一，由上级行政机关或者有关机关责令改正，对直接负责的主管人员和其他直接责任人员依法给予处分：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（一）没有法定的行政处罚依据的；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（二）擅自改变行政处罚种类、幅度的；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（三）违反法定的行政处罚程序的；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（四）违反本法第二十条关于委托处罚的规定的；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（五）执法人员未取得执法证件的。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Times New Roman" w:hAnsi="Times New Roman" w:eastAsia="仿宋_GB2312" w:cs="仿宋_GB2312"/>
                <w:snapToGrid w:val="0"/>
                <w:color w:val="000000"/>
                <w:sz w:val="20"/>
                <w:szCs w:val="20"/>
                <w:lang w:eastAsia="zh-CN"/>
              </w:rPr>
            </w:pPr>
            <w:r>
              <w:rPr>
                <w:rFonts w:hint="eastAsia" w:ascii="仿宋_GB2312" w:hAnsi="仿宋_GB2312" w:eastAsia="仿宋_GB2312" w:cs="仿宋_GB2312"/>
                <w:snapToGrid w:val="0"/>
                <w:color w:val="000000"/>
                <w:sz w:val="20"/>
                <w:szCs w:val="20"/>
              </w:rPr>
              <w:t>行政机关对符合立案标准的案件不及时立案的，依照前款规定予以处理。</w:t>
            </w:r>
            <w:r>
              <w:rPr>
                <w:rFonts w:hint="eastAsia" w:ascii="仿宋_GB2312" w:hAnsi="仿宋_GB2312" w:eastAsia="仿宋_GB2312" w:cs="仿宋_GB2312"/>
                <w:snapToGrid w:val="0"/>
                <w:color w:val="000000"/>
                <w:sz w:val="20"/>
                <w:szCs w:val="20"/>
                <w:lang w:eastAsia="zh-CN"/>
              </w:rPr>
              <w:t>”</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2.【法律】《中华人民共和国行政处罚法》第</w:t>
            </w:r>
            <w:r>
              <w:rPr>
                <w:rFonts w:hint="eastAsia" w:ascii="Times New Roman" w:hAnsi="Times New Roman" w:eastAsia="仿宋_GB2312" w:cs="仿宋_GB2312"/>
                <w:snapToGrid w:val="0"/>
                <w:color w:val="000000"/>
                <w:sz w:val="20"/>
                <w:szCs w:val="20"/>
                <w:lang w:eastAsia="zh-CN"/>
              </w:rPr>
              <w:t>八</w:t>
            </w:r>
            <w:r>
              <w:rPr>
                <w:rFonts w:hint="eastAsia" w:ascii="Times New Roman" w:hAnsi="Times New Roman" w:eastAsia="仿宋_GB2312" w:cs="仿宋_GB2312"/>
                <w:snapToGrid w:val="0"/>
                <w:color w:val="000000"/>
                <w:sz w:val="20"/>
                <w:szCs w:val="20"/>
              </w:rPr>
              <w:t>十</w:t>
            </w:r>
            <w:r>
              <w:rPr>
                <w:rFonts w:hint="eastAsia" w:ascii="Times New Roman" w:hAnsi="Times New Roman" w:eastAsia="仿宋_GB2312" w:cs="仿宋_GB2312"/>
                <w:snapToGrid w:val="0"/>
                <w:color w:val="000000"/>
                <w:sz w:val="20"/>
                <w:szCs w:val="20"/>
                <w:lang w:eastAsia="zh-CN"/>
              </w:rPr>
              <w:t>三</w:t>
            </w:r>
            <w:r>
              <w:rPr>
                <w:rFonts w:hint="eastAsia" w:ascii="Times New Roman" w:hAnsi="Times New Roman" w:eastAsia="仿宋_GB2312" w:cs="仿宋_GB2312"/>
                <w:snapToGrid w:val="0"/>
                <w:color w:val="000000"/>
                <w:sz w:val="20"/>
                <w:szCs w:val="20"/>
              </w:rPr>
              <w:t>条“</w:t>
            </w:r>
            <w:r>
              <w:rPr>
                <w:rFonts w:hint="eastAsia" w:ascii="仿宋_GB2312" w:hAnsi="仿宋_GB2312" w:eastAsia="仿宋_GB2312" w:cs="仿宋_GB2312"/>
                <w:snapToGrid w:val="0"/>
                <w:color w:val="000000"/>
                <w:sz w:val="20"/>
                <w:szCs w:val="20"/>
              </w:rPr>
              <w:t>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Times New Roman" w:hAnsi="Times New Roman" w:eastAsia="仿宋_GB2312" w:cs="仿宋_GB2312"/>
                <w:snapToGrid w:val="0"/>
                <w:color w:val="000000"/>
                <w:sz w:val="20"/>
                <w:szCs w:val="20"/>
              </w:rPr>
              <w:t>”</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法律法规规定的免责情形以及市委、市政府有关文件中明确的免责情形。</w:t>
            </w:r>
          </w:p>
        </w:tc>
        <w:tc>
          <w:tcPr>
            <w:tcW w:w="4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r>
      <w:tr>
        <w:tblPrEx>
          <w:tblCellMar>
            <w:top w:w="28" w:type="dxa"/>
            <w:left w:w="28" w:type="dxa"/>
            <w:bottom w:w="28" w:type="dxa"/>
            <w:right w:w="28" w:type="dxa"/>
          </w:tblCellMar>
        </w:tblPrEx>
        <w:trPr>
          <w:cantSplit/>
          <w:trHeight w:val="12758" w:hRule="atLeast"/>
          <w:jc w:val="center"/>
        </w:trPr>
        <w:tc>
          <w:tcPr>
            <w:tcW w:w="2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124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2175" w:type="dxa"/>
            <w:tcBorders>
              <w:top w:val="single" w:color="auto" w:sz="4" w:space="0"/>
              <w:left w:val="nil"/>
              <w:bottom w:val="single" w:color="auto" w:sz="4" w:space="0"/>
              <w:right w:val="single" w:color="auto" w:sz="4" w:space="0"/>
            </w:tcBorders>
            <w:vAlign w:val="center"/>
          </w:tcPr>
          <w:p>
            <w:pPr>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p>
        </w:tc>
        <w:tc>
          <w:tcPr>
            <w:tcW w:w="445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p>
        </w:tc>
        <w:tc>
          <w:tcPr>
            <w:tcW w:w="5690" w:type="dxa"/>
            <w:tcBorders>
              <w:top w:val="single" w:color="auto" w:sz="4" w:space="0"/>
              <w:left w:val="nil"/>
              <w:bottom w:val="single" w:color="auto" w:sz="4" w:space="0"/>
              <w:right w:val="single" w:color="auto" w:sz="4" w:space="0"/>
            </w:tcBorders>
            <w:vAlign w:val="center"/>
          </w:tcPr>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六十四条：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5.【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对情节复杂或者重大违法行为给予行政处罚，行政机关负责人应当集体讨论决定。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6.【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当事人同意并签订确认书的，行政机关可以采用传真、电子邮件等方式，将行政处罚决定书等送达当事人。</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7.【法律】《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p>
          <w:p>
            <w:pPr>
              <w:spacing w:line="300" w:lineRule="exact"/>
              <w:ind w:firstLine="400" w:firstLineChars="200"/>
              <w:rPr>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8.【法律】《中华人民共和国行政处罚法》第七十五条：</w:t>
            </w:r>
            <w:r>
              <w:rPr>
                <w:rFonts w:ascii="仿宋_GB2312" w:hAnsi="仿宋_GB2312" w:eastAsia="仿宋_GB2312" w:cs="仿宋_GB2312"/>
                <w:color w:val="000000" w:themeColor="text1"/>
                <w:sz w:val="20"/>
                <w:szCs w:val="20"/>
                <w14:textFill>
                  <w14:solidFill>
                    <w14:schemeClr w14:val="tx1"/>
                  </w14:solidFill>
                </w14:textFill>
              </w:rPr>
              <w:t>行政机关应当建立健全对行政处罚的监督制度。县级以上人民政府应当定期组织开展行政执法评议、考核，加强对行政处罚的监督检查，规范和保障行政处罚的实施。</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ascii="仿宋_GB2312" w:hAnsi="仿宋_GB2312" w:eastAsia="仿宋_GB2312" w:cs="仿宋_GB2312"/>
                <w:color w:val="000000" w:themeColor="text1"/>
                <w:sz w:val="20"/>
                <w:szCs w:val="20"/>
                <w14:textFill>
                  <w14:solidFill>
                    <w14:schemeClr w14:val="tx1"/>
                  </w14:solidFill>
                </w14:textFill>
              </w:rPr>
              <w:t>行政机关实施行政处罚应当接受社会监督。公民、法人或者其他组织对行政机关实施行政处罚的行为，有权申诉或者检举；行政机</w:t>
            </w:r>
            <w:r>
              <w:rPr>
                <w:rFonts w:hint="eastAsia" w:ascii="仿宋_GB2312" w:hAnsi="仿宋_GB2312" w:eastAsia="仿宋_GB2312" w:cs="仿宋_GB2312"/>
                <w:snapToGrid w:val="0"/>
                <w:color w:val="000000" w:themeColor="text1"/>
                <w:sz w:val="20"/>
                <w:szCs w:val="20"/>
                <w14:textFill>
                  <w14:solidFill>
                    <w14:schemeClr w14:val="tx1"/>
                  </w14:solidFill>
                </w14:textFill>
              </w:rPr>
              <w:t>关应当认真审查，发现有错误的，应当主动改正。</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p>
          <w:p>
            <w:pPr>
              <w:widowControl/>
              <w:adjustRightInd w:val="0"/>
              <w:snapToGrid w:val="0"/>
              <w:spacing w:line="300" w:lineRule="exact"/>
              <w:ind w:firstLine="400" w:firstLineChars="200"/>
              <w:jc w:val="center"/>
              <w:rPr>
                <w:rFonts w:eastAsia="黑体" w:cs="黑体"/>
                <w:snapToGrid w:val="0"/>
                <w:color w:val="000000" w:themeColor="text1"/>
                <w:sz w:val="20"/>
                <w:szCs w:val="20"/>
                <w14:textFill>
                  <w14:solidFill>
                    <w14:schemeClr w14:val="tx1"/>
                  </w14:solidFill>
                </w14:textFill>
              </w:rPr>
            </w:pPr>
          </w:p>
        </w:tc>
        <w:tc>
          <w:tcPr>
            <w:tcW w:w="26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4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r>
      <w:tr>
        <w:tblPrEx>
          <w:tblCellMar>
            <w:top w:w="28" w:type="dxa"/>
            <w:left w:w="28" w:type="dxa"/>
            <w:bottom w:w="28" w:type="dxa"/>
            <w:right w:w="28" w:type="dxa"/>
          </w:tblCellMar>
        </w:tblPrEx>
        <w:trPr>
          <w:cantSplit/>
          <w:trHeight w:val="12758" w:hRule="atLeast"/>
          <w:jc w:val="center"/>
        </w:trPr>
        <w:tc>
          <w:tcPr>
            <w:tcW w:w="2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黑体" w:cs="黑体"/>
                <w:snapToGrid w:val="0"/>
                <w:color w:val="000000" w:themeColor="text1"/>
                <w:sz w:val="20"/>
                <w:szCs w:val="20"/>
                <w:lang w:val="en-US" w:eastAsia="zh-CN"/>
                <w14:textFill>
                  <w14:solidFill>
                    <w14:schemeClr w14:val="tx1"/>
                  </w14:solidFill>
                </w14:textFill>
              </w:rPr>
            </w:pPr>
            <w:r>
              <w:rPr>
                <w:rFonts w:hint="eastAsia" w:eastAsia="黑体" w:cs="黑体"/>
                <w:snapToGrid w:val="0"/>
                <w:color w:val="000000" w:themeColor="text1"/>
                <w:sz w:val="20"/>
                <w:szCs w:val="20"/>
                <w14:textFill>
                  <w14:solidFill>
                    <w14:schemeClr w14:val="tx1"/>
                  </w14:solidFill>
                </w14:textFill>
              </w:rPr>
              <w:t>1</w:t>
            </w:r>
            <w:r>
              <w:rPr>
                <w:rFonts w:hint="eastAsia" w:eastAsia="黑体" w:cs="黑体"/>
                <w:snapToGrid w:val="0"/>
                <w:color w:val="000000" w:themeColor="text1"/>
                <w:sz w:val="20"/>
                <w:szCs w:val="20"/>
                <w:lang w:val="en-US" w:eastAsia="zh-CN"/>
                <w14:textFill>
                  <w14:solidFill>
                    <w14:schemeClr w14:val="tx1"/>
                  </w14:solidFill>
                </w14:textFill>
              </w:rPr>
              <w:t>3</w:t>
            </w:r>
          </w:p>
        </w:tc>
        <w:tc>
          <w:tcPr>
            <w:tcW w:w="8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行政处罚</w:t>
            </w:r>
          </w:p>
        </w:tc>
        <w:tc>
          <w:tcPr>
            <w:tcW w:w="124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对使用国家明令淘汰的电力设备和技术进行电力建设项目的处罚</w:t>
            </w:r>
          </w:p>
        </w:tc>
        <w:tc>
          <w:tcPr>
            <w:tcW w:w="87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lang w:eastAsia="zh-CN"/>
                <w14:textFill>
                  <w14:solidFill>
                    <w14:schemeClr w14:val="tx1"/>
                  </w14:solidFill>
                </w14:textFill>
              </w:rPr>
              <w:t>柳州市城中区工业和信息化局</w:t>
            </w:r>
          </w:p>
        </w:tc>
        <w:tc>
          <w:tcPr>
            <w:tcW w:w="217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【法律】《中华人民共和国电力法》第十四条：电力建设项目应当符合电力发展规划，符合国家电力产业政策。电力建设项目不得使用国家明令淘汰的电力设备和技术。</w:t>
            </w:r>
          </w:p>
          <w:p>
            <w:pPr>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第六十二条第二款：违反本法第十四条规定，电力建设项目使用国家明令淘汰的电力设备和技术的，由电力管理部门责令停止使用，没收国家明令淘汰的电力设备，并处五万元以下的罚款。</w:t>
            </w:r>
          </w:p>
        </w:tc>
        <w:tc>
          <w:tcPr>
            <w:tcW w:w="445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1.立案责任：发现根据举报控告的违法行为或者上报移送的违法案件，及时制止并予以审查，决定是否立案。</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2.调查责任：依法回避；两人以上出示执法证件；制作笔录、收集证据；允许辩解陈述；保守有关秘密。</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4.告知责任：作出行政处罚决定前，制作《行政处罚告知书》，告知违法事实及其享有的陈述、申辩等权利；满足听证条件的，制作《行政处罚听证告知书》告知当事人有要求举行听证的权利。</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5.决定责任：制作行政处罚决定书，载明违法事实和证据、处罚依据和内容、申请行政复议或提起行政诉讼的途径和期限等内容（逾期不履行处罚决定的后果）。</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6.送达责任：行政处罚决定书按法律规定的方式送达当事人。</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7.执行责任：监督当事人在决定期限内履行义务；书面催告当事人及时履行处罚决定；依法申请人民法院强制执行。</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8.监管责任：对行政处罚等情况的监督检查。</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9.其他法律法规规章文件规定应履行的责任。</w:t>
            </w:r>
          </w:p>
        </w:tc>
        <w:tc>
          <w:tcPr>
            <w:tcW w:w="5690" w:type="dxa"/>
            <w:tcBorders>
              <w:top w:val="single" w:color="auto" w:sz="4" w:space="0"/>
              <w:left w:val="nil"/>
              <w:bottom w:val="single" w:color="auto" w:sz="4" w:space="0"/>
              <w:right w:val="single" w:color="auto" w:sz="4" w:space="0"/>
            </w:tcBorders>
            <w:vAlign w:val="center"/>
          </w:tcPr>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1.【法律】《中华人民共和国行政处罚法》第十七条：行政处罚由具有行政处罚权的行政机关在法定职权范围内实施。</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第二十二条：行政处罚由违法行为发生地的行政机关管辖。法律、行政法规、部门规章另有规定的，从其规定。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当事人或者有关人员应当如实回答询问，并协助调查或者检查，不得拒绝或者阻挠。询问或者检查应当制作笔录。</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2.【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符合立案标准的，行政机关应当及时立案。</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3.【法律】《中华人民共和国行政处罚法》第五十七条：调查终结，行政机关负责人应当对调查结果进行审查，根据不同情况，分别作出如下决定：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（一）确有应受行政处罚的违法行为的，根据情节轻重及具体情况，作出行政处罚决定；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（二）违法行为轻微，依法可以不予行政处罚的，不予行政处罚；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（三）违法事实不能成立的，不予行政处罚；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（四）违法行为涉嫌犯罪的，移送司法机关。</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对情节复杂或者重大违法行为给予行政处罚，行政机关负责人应当集体讨论决定。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第五十八条：有下列情形之一，在行政机关负责人作出行政处罚的决定之前，应当由从事行政处罚决定法制审核的人员进行法制审核；未经法制审核或者审核未通过的，不得作出决定：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（一）涉及重大公共利益的；</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（二）直接关系当事人或者第三人重大权益，经过听证程序的；</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（三）案件情况疑难复杂、涉及多个法律关系的；</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（四）法律、法规规定应当进行法制审核的其他情形。</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行政机关中初次从事行政处罚决定法制审核的人员，应当通过国家统一法律职业资格考试取得法律职业资格。</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4.【法律】《中华人民共和国行政处罚法》第四十四条：行政机关在作出行政处罚决定之前，应当告知当事人拟作出的行政处罚内容及事实、理由、依据，并告知当事人依法享有的陈述、申辩、要求听证等权利。</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第六十三条：行政机关拟作出下列行政处罚决定，应当告知当事人有要求听证的权利，当事人要求听证的，行政机关应当组织听证：</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一）较大数额罚款；（二）没收较大数额违法所得、没收较大价值非法财物；（三）降低资质等级、吊销许可证件；（四）责令停产停业、责令关闭、限制从业；（五）其他较重的行政处罚；（六）法律、法规、规章规定的其他情形。</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当事人不承担行政机关组织听证的费用。</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p>
        </w:tc>
        <w:tc>
          <w:tcPr>
            <w:tcW w:w="26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实施行政处罚，有下列情形之一的，应承担相应的责任：</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1.没有法律和事实依据实施行政处罚的；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2.执法人员玩忽职守，对应当予以制止和处罚的违法行为不予制止、处罚，致使公民、法人或社会合法权益、公共利益遭受损害的；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3.不具备行政执法资格实施行政处罚的；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4.擅自改变行政处罚种类、幅度的以及违反法定的行政处罚程序的；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5.违反“罚缴分离”规定，擅自收取罚款的以及截留、私分或者变相私分罚款的；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6.符合听证条件、行政管理相对人要求听证，应予组织听证而不组织听证的；</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7.其他违反法律法规规章文件规定的行为。</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1.【法律】《中华人民共和国行政处罚法》第</w:t>
            </w:r>
            <w:r>
              <w:rPr>
                <w:rFonts w:hint="eastAsia" w:ascii="Times New Roman" w:hAnsi="Times New Roman" w:eastAsia="仿宋_GB2312" w:cs="仿宋_GB2312"/>
                <w:snapToGrid w:val="0"/>
                <w:color w:val="000000"/>
                <w:sz w:val="20"/>
                <w:szCs w:val="20"/>
                <w:lang w:eastAsia="zh-CN"/>
              </w:rPr>
              <w:t>七</w:t>
            </w:r>
            <w:r>
              <w:rPr>
                <w:rFonts w:hint="eastAsia" w:ascii="Times New Roman" w:hAnsi="Times New Roman" w:eastAsia="仿宋_GB2312" w:cs="仿宋_GB2312"/>
                <w:snapToGrid w:val="0"/>
                <w:color w:val="000000"/>
                <w:sz w:val="20"/>
                <w:szCs w:val="20"/>
              </w:rPr>
              <w:t>十</w:t>
            </w:r>
            <w:r>
              <w:rPr>
                <w:rFonts w:hint="eastAsia" w:ascii="Times New Roman" w:hAnsi="Times New Roman" w:eastAsia="仿宋_GB2312" w:cs="仿宋_GB2312"/>
                <w:snapToGrid w:val="0"/>
                <w:color w:val="000000"/>
                <w:sz w:val="20"/>
                <w:szCs w:val="20"/>
                <w:lang w:eastAsia="zh-CN"/>
              </w:rPr>
              <w:t>六</w:t>
            </w:r>
            <w:r>
              <w:rPr>
                <w:rFonts w:hint="eastAsia" w:ascii="Times New Roman" w:hAnsi="Times New Roman" w:eastAsia="仿宋_GB2312" w:cs="仿宋_GB2312"/>
                <w:snapToGrid w:val="0"/>
                <w:color w:val="000000"/>
                <w:sz w:val="20"/>
                <w:szCs w:val="20"/>
              </w:rPr>
              <w:t>条“</w:t>
            </w:r>
            <w:r>
              <w:rPr>
                <w:rFonts w:hint="eastAsia" w:ascii="仿宋_GB2312" w:hAnsi="仿宋_GB2312" w:eastAsia="仿宋_GB2312" w:cs="仿宋_GB2312"/>
                <w:snapToGrid w:val="0"/>
                <w:color w:val="000000"/>
                <w:sz w:val="20"/>
                <w:szCs w:val="20"/>
              </w:rPr>
              <w:t>行政机关实施行政处罚，有下列情形之一，由上级行政机关或者有关机关责令改正，对直接负责的主管人员和其他直接责任人员依法给予处分：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（一）没有法定的行政处罚依据的；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（二）擅自改变行政处罚种类、幅度的；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（三）违反法定的行政处罚程序的；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（四）违反本法第二十条关于委托处罚的规定的；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（五）执法人员未取得执法证件的。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Times New Roman" w:hAnsi="Times New Roman" w:eastAsia="仿宋_GB2312" w:cs="仿宋_GB2312"/>
                <w:snapToGrid w:val="0"/>
                <w:color w:val="000000"/>
                <w:sz w:val="20"/>
                <w:szCs w:val="20"/>
                <w:lang w:eastAsia="zh-CN"/>
              </w:rPr>
            </w:pPr>
            <w:r>
              <w:rPr>
                <w:rFonts w:hint="eastAsia" w:ascii="仿宋_GB2312" w:hAnsi="仿宋_GB2312" w:eastAsia="仿宋_GB2312" w:cs="仿宋_GB2312"/>
                <w:snapToGrid w:val="0"/>
                <w:color w:val="000000"/>
                <w:sz w:val="20"/>
                <w:szCs w:val="20"/>
              </w:rPr>
              <w:t>行政机关对符合立案标准的案件不及时立案的，依照前款规定予以处理。</w:t>
            </w:r>
            <w:r>
              <w:rPr>
                <w:rFonts w:hint="eastAsia" w:ascii="仿宋_GB2312" w:hAnsi="仿宋_GB2312" w:eastAsia="仿宋_GB2312" w:cs="仿宋_GB2312"/>
                <w:snapToGrid w:val="0"/>
                <w:color w:val="000000"/>
                <w:sz w:val="20"/>
                <w:szCs w:val="20"/>
                <w:lang w:eastAsia="zh-CN"/>
              </w:rPr>
              <w:t>”</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2.【法律】《中华人民共和国行政处罚法》第</w:t>
            </w:r>
            <w:r>
              <w:rPr>
                <w:rFonts w:hint="eastAsia" w:ascii="Times New Roman" w:hAnsi="Times New Roman" w:eastAsia="仿宋_GB2312" w:cs="仿宋_GB2312"/>
                <w:snapToGrid w:val="0"/>
                <w:color w:val="000000"/>
                <w:sz w:val="20"/>
                <w:szCs w:val="20"/>
                <w:lang w:eastAsia="zh-CN"/>
              </w:rPr>
              <w:t>八</w:t>
            </w:r>
            <w:r>
              <w:rPr>
                <w:rFonts w:hint="eastAsia" w:ascii="Times New Roman" w:hAnsi="Times New Roman" w:eastAsia="仿宋_GB2312" w:cs="仿宋_GB2312"/>
                <w:snapToGrid w:val="0"/>
                <w:color w:val="000000"/>
                <w:sz w:val="20"/>
                <w:szCs w:val="20"/>
              </w:rPr>
              <w:t>十</w:t>
            </w:r>
            <w:r>
              <w:rPr>
                <w:rFonts w:hint="eastAsia" w:ascii="Times New Roman" w:hAnsi="Times New Roman" w:eastAsia="仿宋_GB2312" w:cs="仿宋_GB2312"/>
                <w:snapToGrid w:val="0"/>
                <w:color w:val="000000"/>
                <w:sz w:val="20"/>
                <w:szCs w:val="20"/>
                <w:lang w:eastAsia="zh-CN"/>
              </w:rPr>
              <w:t>三</w:t>
            </w:r>
            <w:r>
              <w:rPr>
                <w:rFonts w:hint="eastAsia" w:ascii="Times New Roman" w:hAnsi="Times New Roman" w:eastAsia="仿宋_GB2312" w:cs="仿宋_GB2312"/>
                <w:snapToGrid w:val="0"/>
                <w:color w:val="000000"/>
                <w:sz w:val="20"/>
                <w:szCs w:val="20"/>
              </w:rPr>
              <w:t>条“</w:t>
            </w:r>
            <w:r>
              <w:rPr>
                <w:rFonts w:hint="eastAsia" w:ascii="仿宋_GB2312" w:hAnsi="仿宋_GB2312" w:eastAsia="仿宋_GB2312" w:cs="仿宋_GB2312"/>
                <w:snapToGrid w:val="0"/>
                <w:color w:val="000000"/>
                <w:sz w:val="20"/>
                <w:szCs w:val="20"/>
              </w:rPr>
              <w:t>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Times New Roman" w:hAnsi="Times New Roman" w:eastAsia="仿宋_GB2312" w:cs="仿宋_GB2312"/>
                <w:snapToGrid w:val="0"/>
                <w:color w:val="000000"/>
                <w:sz w:val="20"/>
                <w:szCs w:val="20"/>
              </w:rPr>
              <w:t>”</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法律法规规定的免责情形以及市委、市政府有关文件中明确的免责情形。</w:t>
            </w:r>
          </w:p>
        </w:tc>
        <w:tc>
          <w:tcPr>
            <w:tcW w:w="4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r>
      <w:tr>
        <w:tblPrEx>
          <w:tblCellMar>
            <w:top w:w="28" w:type="dxa"/>
            <w:left w:w="28" w:type="dxa"/>
            <w:bottom w:w="28" w:type="dxa"/>
            <w:right w:w="28" w:type="dxa"/>
          </w:tblCellMar>
        </w:tblPrEx>
        <w:trPr>
          <w:cantSplit/>
          <w:trHeight w:val="12758" w:hRule="atLeast"/>
          <w:jc w:val="center"/>
        </w:trPr>
        <w:tc>
          <w:tcPr>
            <w:tcW w:w="2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124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2175" w:type="dxa"/>
            <w:tcBorders>
              <w:top w:val="single" w:color="auto" w:sz="4" w:space="0"/>
              <w:left w:val="nil"/>
              <w:bottom w:val="single" w:color="auto" w:sz="4" w:space="0"/>
              <w:right w:val="single" w:color="auto" w:sz="4" w:space="0"/>
            </w:tcBorders>
            <w:vAlign w:val="center"/>
          </w:tcPr>
          <w:p>
            <w:pPr>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p>
        </w:tc>
        <w:tc>
          <w:tcPr>
            <w:tcW w:w="445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p>
        </w:tc>
        <w:tc>
          <w:tcPr>
            <w:tcW w:w="5690" w:type="dxa"/>
            <w:tcBorders>
              <w:top w:val="single" w:color="auto" w:sz="4" w:space="0"/>
              <w:left w:val="nil"/>
              <w:bottom w:val="single" w:color="auto" w:sz="4" w:space="0"/>
              <w:right w:val="single" w:color="auto" w:sz="4" w:space="0"/>
            </w:tcBorders>
            <w:vAlign w:val="center"/>
          </w:tcPr>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六十四条：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5.【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对情节复杂或者重大违法行为给予行政处罚，行政机关负责人应当集体讨论决定。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6.【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当事人同意并签订确认书的，行政机关可以采用传真、电子邮件等方式，将行政处罚决定书等送达当事人。</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7.【法律】《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p>
          <w:p>
            <w:pPr>
              <w:spacing w:line="300" w:lineRule="exact"/>
              <w:ind w:firstLine="400" w:firstLineChars="200"/>
              <w:rPr>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8.【法律】《中华人民共和国行政处罚法》第七十五条：</w:t>
            </w:r>
            <w:r>
              <w:rPr>
                <w:rFonts w:ascii="仿宋_GB2312" w:hAnsi="仿宋_GB2312" w:eastAsia="仿宋_GB2312" w:cs="仿宋_GB2312"/>
                <w:color w:val="000000" w:themeColor="text1"/>
                <w:sz w:val="20"/>
                <w:szCs w:val="20"/>
                <w14:textFill>
                  <w14:solidFill>
                    <w14:schemeClr w14:val="tx1"/>
                  </w14:solidFill>
                </w14:textFill>
              </w:rPr>
              <w:t>行政机关应当建立健全对行政处罚的监督制度。县级以上人民政府应当定期组织开展行政执法评议、考核，加强对行政处罚的监督检查，规范和保障行政处罚的实施。</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ascii="仿宋_GB2312" w:hAnsi="仿宋_GB2312" w:eastAsia="仿宋_GB2312" w:cs="仿宋_GB2312"/>
                <w:color w:val="000000" w:themeColor="text1"/>
                <w:sz w:val="20"/>
                <w:szCs w:val="20"/>
                <w14:textFill>
                  <w14:solidFill>
                    <w14:schemeClr w14:val="tx1"/>
                  </w14:solidFill>
                </w14:textFill>
              </w:rPr>
              <w:t>行政机关实施行政处罚应当接受社会监督。公民、法人或者其他组织对行政机关实施行政处罚的行为，有权申诉或者检举；行政机</w:t>
            </w:r>
            <w:r>
              <w:rPr>
                <w:rFonts w:hint="eastAsia" w:ascii="仿宋_GB2312" w:hAnsi="仿宋_GB2312" w:eastAsia="仿宋_GB2312" w:cs="仿宋_GB2312"/>
                <w:snapToGrid w:val="0"/>
                <w:color w:val="000000" w:themeColor="text1"/>
                <w:sz w:val="20"/>
                <w:szCs w:val="20"/>
                <w14:textFill>
                  <w14:solidFill>
                    <w14:schemeClr w14:val="tx1"/>
                  </w14:solidFill>
                </w14:textFill>
              </w:rPr>
              <w:t>关应当认真审查，发现有错误的，应当主动改正。</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p>
          <w:p>
            <w:pPr>
              <w:widowControl/>
              <w:adjustRightInd w:val="0"/>
              <w:snapToGrid w:val="0"/>
              <w:spacing w:line="300" w:lineRule="exact"/>
              <w:ind w:firstLine="400" w:firstLineChars="200"/>
              <w:jc w:val="center"/>
              <w:rPr>
                <w:rFonts w:eastAsia="黑体" w:cs="黑体"/>
                <w:snapToGrid w:val="0"/>
                <w:color w:val="000000" w:themeColor="text1"/>
                <w:sz w:val="20"/>
                <w:szCs w:val="20"/>
                <w14:textFill>
                  <w14:solidFill>
                    <w14:schemeClr w14:val="tx1"/>
                  </w14:solidFill>
                </w14:textFill>
              </w:rPr>
            </w:pPr>
          </w:p>
        </w:tc>
        <w:tc>
          <w:tcPr>
            <w:tcW w:w="26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4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r>
      <w:tr>
        <w:tblPrEx>
          <w:tblCellMar>
            <w:top w:w="28" w:type="dxa"/>
            <w:left w:w="28" w:type="dxa"/>
            <w:bottom w:w="28" w:type="dxa"/>
            <w:right w:w="28" w:type="dxa"/>
          </w:tblCellMar>
        </w:tblPrEx>
        <w:trPr>
          <w:cantSplit/>
          <w:trHeight w:val="12758" w:hRule="atLeast"/>
          <w:jc w:val="center"/>
        </w:trPr>
        <w:tc>
          <w:tcPr>
            <w:tcW w:w="2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黑体" w:cs="黑体"/>
                <w:snapToGrid w:val="0"/>
                <w:color w:val="000000" w:themeColor="text1"/>
                <w:sz w:val="20"/>
                <w:szCs w:val="20"/>
                <w:lang w:val="en-US" w:eastAsia="zh-CN"/>
                <w14:textFill>
                  <w14:solidFill>
                    <w14:schemeClr w14:val="tx1"/>
                  </w14:solidFill>
                </w14:textFill>
              </w:rPr>
            </w:pPr>
            <w:r>
              <w:rPr>
                <w:rFonts w:hint="eastAsia" w:eastAsia="黑体" w:cs="黑体"/>
                <w:snapToGrid w:val="0"/>
                <w:color w:val="000000" w:themeColor="text1"/>
                <w:sz w:val="20"/>
                <w:szCs w:val="20"/>
                <w14:textFill>
                  <w14:solidFill>
                    <w14:schemeClr w14:val="tx1"/>
                  </w14:solidFill>
                </w14:textFill>
              </w:rPr>
              <w:t>1</w:t>
            </w:r>
            <w:r>
              <w:rPr>
                <w:rFonts w:hint="eastAsia" w:eastAsia="黑体" w:cs="黑体"/>
                <w:snapToGrid w:val="0"/>
                <w:color w:val="000000" w:themeColor="text1"/>
                <w:sz w:val="20"/>
                <w:szCs w:val="20"/>
                <w:lang w:val="en-US" w:eastAsia="zh-CN"/>
                <w14:textFill>
                  <w14:solidFill>
                    <w14:schemeClr w14:val="tx1"/>
                  </w14:solidFill>
                </w14:textFill>
              </w:rPr>
              <w:t>4</w:t>
            </w:r>
          </w:p>
        </w:tc>
        <w:tc>
          <w:tcPr>
            <w:tcW w:w="8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行政处罚</w:t>
            </w:r>
          </w:p>
        </w:tc>
        <w:tc>
          <w:tcPr>
            <w:tcW w:w="124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对未经许可从事供电或者变更供电营业区行为的处罚</w:t>
            </w:r>
          </w:p>
        </w:tc>
        <w:tc>
          <w:tcPr>
            <w:tcW w:w="87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lang w:eastAsia="zh-CN"/>
                <w14:textFill>
                  <w14:solidFill>
                    <w14:schemeClr w14:val="tx1"/>
                  </w14:solidFill>
                </w14:textFill>
              </w:rPr>
              <w:t>柳州市城中区工业和信息化局</w:t>
            </w:r>
          </w:p>
        </w:tc>
        <w:tc>
          <w:tcPr>
            <w:tcW w:w="217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1.【法律】《中华人民共和国电力法》第二十五条：供电企业在批准的供电营业区内向用户供电。供电营业区的划分，应当考虑电网的结构和供电合理性等因素。一个供电营业区内只设立一个供电营业机构。供电营业区的设立、变更，由供电企业提出申请，电力管理部门依据职责和管理权限，会同同级有关部门审查批准后，发给《电力业务许可证》。供电营业区设立、变更的具体办法，由国务院电力管理部门制定。</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第六十三条：违反本法第二十五条规定，未经许可，从事供电或者变更供电营业区的，由电力管理部门责令改正，没收违法所得，可以并处违法所得五倍以下的罚款。</w:t>
            </w:r>
          </w:p>
          <w:p>
            <w:pPr>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2.【行政法规】《电力供应与使用条例》（1996年国务院令第196号发布，2016年国务院令第666号修改）第三十八条：违反本条例规定，有下列行为之一的，由电力管理部门责令改正，没收违法所得，可以并处违法所得5倍以下的罚款：（一）未按照规定取得《供电营业许可证》，从事电力供应业务的；（二）擅自伸入或者跨越供电营业区供电的；（三）擅自向外转供电的。</w:t>
            </w:r>
          </w:p>
        </w:tc>
        <w:tc>
          <w:tcPr>
            <w:tcW w:w="445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1.立案责任：发现根据举报控告的违法行为或者上报移送的违法案件，及时制止并予以审查，决定是否立案。</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2.调查责任：依法回避；两人以上出示执法证件；制作笔录、收集证据；允许辩解陈述；保守有关秘密。</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4.告知责任：作出行政处罚决定前，制作《行政处罚告知书》，告知违法事实及其享有的陈述、申辩等权利；满足听证条件的，制作《行政处罚听证告知书》告知当事人有要求举行听证的权利。</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5.决定责任：制作行政处罚决定书，载明违法事实和证据、处罚依据和内容、申请行政复议或提起行政诉讼的途径和期限等内容（逾期不履行处罚决定的后果）。</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6.送达责任：行政处罚决定书按法律规定的方式送达当事人。</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7.执行责任：监督当事人在决定期限内履行义务；书面催告当事人及时履行处罚决定；依法申请人民法院强制执行。</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8.监管责任：对行政处罚等情况的监督检查。</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9.其他法律法规规章文件规定应履行的责任。</w:t>
            </w:r>
          </w:p>
        </w:tc>
        <w:tc>
          <w:tcPr>
            <w:tcW w:w="5690" w:type="dxa"/>
            <w:tcBorders>
              <w:top w:val="single" w:color="auto" w:sz="4" w:space="0"/>
              <w:left w:val="nil"/>
              <w:bottom w:val="single" w:color="auto" w:sz="4" w:space="0"/>
              <w:right w:val="single" w:color="auto" w:sz="4" w:space="0"/>
            </w:tcBorders>
            <w:vAlign w:val="center"/>
          </w:tcPr>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1.【法律】《中华人民共和国行政处罚法》第十七条：行政处罚由具有行政处罚权的行政机关在法定职权范围内实施。</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第二十二条：行政处罚由违法行为发生地的行政机关管辖。法律、行政法规、部门规章另有规定的，从其规定。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当事人或者有关人员应当如实回答询问，并协助调查或者检查，不得拒绝或者阻挠。询问或者检查应当制作笔录。</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2.【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符合立案标准的，行政机关应当及时立案。</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3.【法律】《中华人民共和国行政处罚法》第五十七条：调查终结，行政机关负责人应当对调查结果进行审查，根据不同情况，分别作出如下决定：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（一）确有应受行政处罚的违法行为的，根据情节轻重及具体情况，作出行政处罚决定；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（二）违法行为轻微，依法可以不予行政处罚的，不予行政处罚；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（三）违法事实不能成立的，不予行政处罚；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（四）违法行为涉嫌犯罪的，移送司法机关。</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对情节复杂或者重大违法行为给予行政处罚，行政机关负责人应当集体讨论决定。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第五十八条：有下列情形之一，在行政机关负责人作出行政处罚的决定之前，应当由从事行政处罚决定法制审核的人员进行法制审核；未经法制审核或者审核未通过的，不得作出决定：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（一）涉及重大公共利益的；</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（二）直接关系当事人或者第三人重大权益，经过听证程序的；</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（三）案件情况疑难复杂、涉及多个法律关系的；</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（四）法律、法规规定应当进行法制审核的其他情形。</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行政机关中初次从事行政处罚决定法制审核的人员，应当通过国家统一法律职业资格考试取得法律职业资格。</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4.【法律】《中华人民共和国行政处罚法》第四十四条：行政机关在作出行政处罚决定之前，应当告知当事人拟作出的行政处罚内容及事实、理由、依据，并告知当事人依法享有的陈述、申辩、要求听证等权利。</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第六十三条：行政机关拟作出下列行政处罚决定，应当告知当事人有要求听证的权利，当事人要求听证的，行政机关应当组织听证：</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一）较大数额罚款；（二）没收较大数额违法所得、没收较大价值非法财物；（三）降低资质等级、吊销许可证件；（四）责令停产停业、责令关闭、限制从业；（五）其他较重的行政处罚；（六）法律、法规、规章规定的其他情形。</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当事人不承担行政机关组织听证的费用。</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p>
        </w:tc>
        <w:tc>
          <w:tcPr>
            <w:tcW w:w="26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实施行政处罚，有下列情形之一的，应承担相应的责任：</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1.没有法律和事实依据实施行政处罚的；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2.执法人员玩忽职守，对应当予以制止和处罚的违法行为不予制止、处罚，致使公民、法人或社会合法权益、公共利益遭受损害的；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3.不具备行政执法资格实施行政处罚的；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4.擅自改变行政处罚种类、幅度的以及违反法定的行政处罚程序的；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5.违反“罚缴分离”规定，擅自收取罚款的以及截留、私分或者变相私分罚款的；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6.符合听证条件、行政管理相对人要求听证，应予组织听证而不组织听证的；</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7.其他违反法律法规规章文件规定的行为。</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11.【法律】《中华人民共和国行政处罚法》第</w:t>
            </w:r>
            <w:r>
              <w:rPr>
                <w:rFonts w:hint="eastAsia" w:ascii="Times New Roman" w:hAnsi="Times New Roman" w:eastAsia="仿宋_GB2312" w:cs="仿宋_GB2312"/>
                <w:snapToGrid w:val="0"/>
                <w:color w:val="000000"/>
                <w:sz w:val="20"/>
                <w:szCs w:val="20"/>
                <w:lang w:eastAsia="zh-CN"/>
              </w:rPr>
              <w:t>七</w:t>
            </w:r>
            <w:r>
              <w:rPr>
                <w:rFonts w:hint="eastAsia" w:ascii="Times New Roman" w:hAnsi="Times New Roman" w:eastAsia="仿宋_GB2312" w:cs="仿宋_GB2312"/>
                <w:snapToGrid w:val="0"/>
                <w:color w:val="000000"/>
                <w:sz w:val="20"/>
                <w:szCs w:val="20"/>
              </w:rPr>
              <w:t>十</w:t>
            </w:r>
            <w:r>
              <w:rPr>
                <w:rFonts w:hint="eastAsia" w:ascii="Times New Roman" w:hAnsi="Times New Roman" w:eastAsia="仿宋_GB2312" w:cs="仿宋_GB2312"/>
                <w:snapToGrid w:val="0"/>
                <w:color w:val="000000"/>
                <w:sz w:val="20"/>
                <w:szCs w:val="20"/>
                <w:lang w:eastAsia="zh-CN"/>
              </w:rPr>
              <w:t>六</w:t>
            </w:r>
            <w:r>
              <w:rPr>
                <w:rFonts w:hint="eastAsia" w:ascii="Times New Roman" w:hAnsi="Times New Roman" w:eastAsia="仿宋_GB2312" w:cs="仿宋_GB2312"/>
                <w:snapToGrid w:val="0"/>
                <w:color w:val="000000"/>
                <w:sz w:val="20"/>
                <w:szCs w:val="20"/>
              </w:rPr>
              <w:t>条“</w:t>
            </w:r>
            <w:r>
              <w:rPr>
                <w:rFonts w:hint="eastAsia" w:ascii="仿宋_GB2312" w:hAnsi="仿宋_GB2312" w:eastAsia="仿宋_GB2312" w:cs="仿宋_GB2312"/>
                <w:snapToGrid w:val="0"/>
                <w:color w:val="000000"/>
                <w:sz w:val="20"/>
                <w:szCs w:val="20"/>
              </w:rPr>
              <w:t>行政机关实施行政处罚，有下列情形之一，由上级行政机关或者有关机关责令改正，对直接负责的主管人员和其他直接责任人员依法给予处分：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（一）没有法定的行政处罚依据的；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（二）擅自改变行政处罚种类、幅度的；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（三）违反法定的行政处罚程序的；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（四）违反本法第二十条关于委托处罚的规定的；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（五）执法人员未取得执法证件的。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Times New Roman" w:hAnsi="Times New Roman" w:eastAsia="仿宋_GB2312" w:cs="仿宋_GB2312"/>
                <w:snapToGrid w:val="0"/>
                <w:color w:val="000000"/>
                <w:sz w:val="20"/>
                <w:szCs w:val="20"/>
                <w:lang w:eastAsia="zh-CN"/>
              </w:rPr>
            </w:pPr>
            <w:r>
              <w:rPr>
                <w:rFonts w:hint="eastAsia" w:ascii="仿宋_GB2312" w:hAnsi="仿宋_GB2312" w:eastAsia="仿宋_GB2312" w:cs="仿宋_GB2312"/>
                <w:snapToGrid w:val="0"/>
                <w:color w:val="000000"/>
                <w:sz w:val="20"/>
                <w:szCs w:val="20"/>
              </w:rPr>
              <w:t>行政机关对符合立案标准的案件不及时立案的，依照前款规定予以处理。</w:t>
            </w:r>
            <w:r>
              <w:rPr>
                <w:rFonts w:hint="eastAsia" w:ascii="仿宋_GB2312" w:hAnsi="仿宋_GB2312" w:eastAsia="仿宋_GB2312" w:cs="仿宋_GB2312"/>
                <w:snapToGrid w:val="0"/>
                <w:color w:val="000000"/>
                <w:sz w:val="20"/>
                <w:szCs w:val="20"/>
                <w:lang w:eastAsia="zh-CN"/>
              </w:rPr>
              <w:t>”</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2.【法律】《中华人民共和国行政处罚法》第</w:t>
            </w:r>
            <w:r>
              <w:rPr>
                <w:rFonts w:hint="eastAsia" w:ascii="Times New Roman" w:hAnsi="Times New Roman" w:eastAsia="仿宋_GB2312" w:cs="仿宋_GB2312"/>
                <w:snapToGrid w:val="0"/>
                <w:color w:val="000000"/>
                <w:sz w:val="20"/>
                <w:szCs w:val="20"/>
                <w:lang w:eastAsia="zh-CN"/>
              </w:rPr>
              <w:t>八</w:t>
            </w:r>
            <w:r>
              <w:rPr>
                <w:rFonts w:hint="eastAsia" w:ascii="Times New Roman" w:hAnsi="Times New Roman" w:eastAsia="仿宋_GB2312" w:cs="仿宋_GB2312"/>
                <w:snapToGrid w:val="0"/>
                <w:color w:val="000000"/>
                <w:sz w:val="20"/>
                <w:szCs w:val="20"/>
              </w:rPr>
              <w:t>十</w:t>
            </w:r>
            <w:r>
              <w:rPr>
                <w:rFonts w:hint="eastAsia" w:ascii="Times New Roman" w:hAnsi="Times New Roman" w:eastAsia="仿宋_GB2312" w:cs="仿宋_GB2312"/>
                <w:snapToGrid w:val="0"/>
                <w:color w:val="000000"/>
                <w:sz w:val="20"/>
                <w:szCs w:val="20"/>
                <w:lang w:eastAsia="zh-CN"/>
              </w:rPr>
              <w:t>三</w:t>
            </w:r>
            <w:r>
              <w:rPr>
                <w:rFonts w:hint="eastAsia" w:ascii="Times New Roman" w:hAnsi="Times New Roman" w:eastAsia="仿宋_GB2312" w:cs="仿宋_GB2312"/>
                <w:snapToGrid w:val="0"/>
                <w:color w:val="000000"/>
                <w:sz w:val="20"/>
                <w:szCs w:val="20"/>
              </w:rPr>
              <w:t>条“</w:t>
            </w:r>
            <w:r>
              <w:rPr>
                <w:rFonts w:hint="eastAsia" w:ascii="仿宋_GB2312" w:hAnsi="仿宋_GB2312" w:eastAsia="仿宋_GB2312" w:cs="仿宋_GB2312"/>
                <w:snapToGrid w:val="0"/>
                <w:color w:val="000000"/>
                <w:sz w:val="20"/>
                <w:szCs w:val="20"/>
              </w:rPr>
              <w:t>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Times New Roman" w:hAnsi="Times New Roman" w:eastAsia="仿宋_GB2312" w:cs="仿宋_GB2312"/>
                <w:snapToGrid w:val="0"/>
                <w:color w:val="000000"/>
                <w:sz w:val="20"/>
                <w:szCs w:val="20"/>
              </w:rPr>
              <w:t>”</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法律法规规定的免责情形以及市委、市政府有关文件中明确的免责情形。</w:t>
            </w:r>
          </w:p>
        </w:tc>
        <w:tc>
          <w:tcPr>
            <w:tcW w:w="4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r>
      <w:tr>
        <w:tblPrEx>
          <w:tblCellMar>
            <w:top w:w="28" w:type="dxa"/>
            <w:left w:w="28" w:type="dxa"/>
            <w:bottom w:w="28" w:type="dxa"/>
            <w:right w:w="28" w:type="dxa"/>
          </w:tblCellMar>
        </w:tblPrEx>
        <w:trPr>
          <w:cantSplit/>
          <w:trHeight w:val="12758" w:hRule="atLeast"/>
          <w:jc w:val="center"/>
        </w:trPr>
        <w:tc>
          <w:tcPr>
            <w:tcW w:w="2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124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2175" w:type="dxa"/>
            <w:tcBorders>
              <w:top w:val="single" w:color="auto" w:sz="4" w:space="0"/>
              <w:left w:val="nil"/>
              <w:bottom w:val="single" w:color="auto" w:sz="4" w:space="0"/>
              <w:right w:val="single" w:color="auto" w:sz="4" w:space="0"/>
            </w:tcBorders>
            <w:vAlign w:val="center"/>
          </w:tcPr>
          <w:p>
            <w:pPr>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p>
        </w:tc>
        <w:tc>
          <w:tcPr>
            <w:tcW w:w="445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p>
        </w:tc>
        <w:tc>
          <w:tcPr>
            <w:tcW w:w="5690" w:type="dxa"/>
            <w:tcBorders>
              <w:top w:val="single" w:color="auto" w:sz="4" w:space="0"/>
              <w:left w:val="nil"/>
              <w:bottom w:val="single" w:color="auto" w:sz="4" w:space="0"/>
              <w:right w:val="single" w:color="auto" w:sz="4" w:space="0"/>
            </w:tcBorders>
            <w:vAlign w:val="center"/>
          </w:tcPr>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六十四条：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5.【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对情节复杂或者重大违法行为给予行政处罚，行政机关负责人应当集体讨论决定。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6.【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当事人同意并签订确认书的，行政机关可以采用传真、电子邮件等方式，将行政处罚决定书等送达当事人。</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7.【法律】《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p>
          <w:p>
            <w:pPr>
              <w:spacing w:line="300" w:lineRule="exact"/>
              <w:ind w:firstLine="400" w:firstLineChars="200"/>
              <w:rPr>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8.【法律】《中华人民共和国行政处罚法》第七十五条：</w:t>
            </w:r>
            <w:r>
              <w:rPr>
                <w:rFonts w:ascii="仿宋_GB2312" w:hAnsi="仿宋_GB2312" w:eastAsia="仿宋_GB2312" w:cs="仿宋_GB2312"/>
                <w:color w:val="000000" w:themeColor="text1"/>
                <w:sz w:val="20"/>
                <w:szCs w:val="20"/>
                <w14:textFill>
                  <w14:solidFill>
                    <w14:schemeClr w14:val="tx1"/>
                  </w14:solidFill>
                </w14:textFill>
              </w:rPr>
              <w:t>行政机关应当建立健全对行政处罚的监督制度。县级以上人民政府应当定期组织开展行政执法评议、考核，加强对行政处罚的监督检查，规范和保障行政处罚的实施。</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ascii="仿宋_GB2312" w:hAnsi="仿宋_GB2312" w:eastAsia="仿宋_GB2312" w:cs="仿宋_GB2312"/>
                <w:color w:val="000000" w:themeColor="text1"/>
                <w:sz w:val="20"/>
                <w:szCs w:val="20"/>
                <w14:textFill>
                  <w14:solidFill>
                    <w14:schemeClr w14:val="tx1"/>
                  </w14:solidFill>
                </w14:textFill>
              </w:rPr>
              <w:t>行政机关实施行政处罚应当接受社会监督。公民、法人或者其他组织对行政机关实施行政处罚的行为，有权申诉或者检举；行政机</w:t>
            </w:r>
            <w:r>
              <w:rPr>
                <w:rFonts w:hint="eastAsia" w:ascii="仿宋_GB2312" w:hAnsi="仿宋_GB2312" w:eastAsia="仿宋_GB2312" w:cs="仿宋_GB2312"/>
                <w:snapToGrid w:val="0"/>
                <w:color w:val="000000" w:themeColor="text1"/>
                <w:sz w:val="20"/>
                <w:szCs w:val="20"/>
                <w14:textFill>
                  <w14:solidFill>
                    <w14:schemeClr w14:val="tx1"/>
                  </w14:solidFill>
                </w14:textFill>
              </w:rPr>
              <w:t>关应当认真审查，发现有错误的，应当主动改正。</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p>
          <w:p>
            <w:pPr>
              <w:widowControl/>
              <w:adjustRightInd w:val="0"/>
              <w:snapToGrid w:val="0"/>
              <w:spacing w:line="300" w:lineRule="exact"/>
              <w:ind w:firstLine="400" w:firstLineChars="200"/>
              <w:jc w:val="center"/>
              <w:rPr>
                <w:rFonts w:eastAsia="黑体" w:cs="黑体"/>
                <w:snapToGrid w:val="0"/>
                <w:color w:val="000000" w:themeColor="text1"/>
                <w:sz w:val="20"/>
                <w:szCs w:val="20"/>
                <w14:textFill>
                  <w14:solidFill>
                    <w14:schemeClr w14:val="tx1"/>
                  </w14:solidFill>
                </w14:textFill>
              </w:rPr>
            </w:pPr>
          </w:p>
        </w:tc>
        <w:tc>
          <w:tcPr>
            <w:tcW w:w="26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4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r>
      <w:tr>
        <w:tblPrEx>
          <w:tblCellMar>
            <w:top w:w="28" w:type="dxa"/>
            <w:left w:w="28" w:type="dxa"/>
            <w:bottom w:w="28" w:type="dxa"/>
            <w:right w:w="28" w:type="dxa"/>
          </w:tblCellMar>
        </w:tblPrEx>
        <w:trPr>
          <w:cantSplit/>
          <w:trHeight w:val="12758" w:hRule="atLeast"/>
          <w:jc w:val="center"/>
        </w:trPr>
        <w:tc>
          <w:tcPr>
            <w:tcW w:w="2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黑体" w:cs="黑体"/>
                <w:snapToGrid w:val="0"/>
                <w:color w:val="000000" w:themeColor="text1"/>
                <w:sz w:val="20"/>
                <w:szCs w:val="20"/>
                <w:lang w:val="en-US" w:eastAsia="zh-CN"/>
                <w14:textFill>
                  <w14:solidFill>
                    <w14:schemeClr w14:val="tx1"/>
                  </w14:solidFill>
                </w14:textFill>
              </w:rPr>
            </w:pPr>
            <w:r>
              <w:rPr>
                <w:rFonts w:hint="eastAsia" w:eastAsia="黑体" w:cs="黑体"/>
                <w:snapToGrid w:val="0"/>
                <w:color w:val="000000" w:themeColor="text1"/>
                <w:sz w:val="20"/>
                <w:szCs w:val="20"/>
                <w14:textFill>
                  <w14:solidFill>
                    <w14:schemeClr w14:val="tx1"/>
                  </w14:solidFill>
                </w14:textFill>
              </w:rPr>
              <w:t>1</w:t>
            </w:r>
            <w:r>
              <w:rPr>
                <w:rFonts w:hint="eastAsia" w:eastAsia="黑体" w:cs="黑体"/>
                <w:snapToGrid w:val="0"/>
                <w:color w:val="000000" w:themeColor="text1"/>
                <w:sz w:val="20"/>
                <w:szCs w:val="20"/>
                <w:lang w:val="en-US" w:eastAsia="zh-CN"/>
                <w14:textFill>
                  <w14:solidFill>
                    <w14:schemeClr w14:val="tx1"/>
                  </w14:solidFill>
                </w14:textFill>
              </w:rPr>
              <w:t>5</w:t>
            </w:r>
          </w:p>
        </w:tc>
        <w:tc>
          <w:tcPr>
            <w:tcW w:w="8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行政处罚</w:t>
            </w:r>
          </w:p>
        </w:tc>
        <w:tc>
          <w:tcPr>
            <w:tcW w:w="124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对违法拒绝供电或中断供电的处罚</w:t>
            </w:r>
          </w:p>
        </w:tc>
        <w:tc>
          <w:tcPr>
            <w:tcW w:w="87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lang w:eastAsia="zh-CN"/>
                <w14:textFill>
                  <w14:solidFill>
                    <w14:schemeClr w14:val="tx1"/>
                  </w14:solidFill>
                </w14:textFill>
              </w:rPr>
              <w:t>柳州市城中区工业和信息化局</w:t>
            </w:r>
          </w:p>
        </w:tc>
        <w:tc>
          <w:tcPr>
            <w:tcW w:w="217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1.【法律】《中华人民共和国电力法》第二十六条：供电营业区内的供电营业机构，对本营业区内的用户有按照国家规定供电的义务；不得违反国家规定对其营业区内申请用电的单位和个人拒绝供电。申请新装用电、临时用电、增加用电容量、变更用电和终止用电，应当依照规定的程序办理手续。供电企业应当在其营业场所公告用电的程序、制度和收费标准，并提供用户须知资料。</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第二十九条：供电企业在发电、供电系统正常的情况下，应当连续向用户供电，不得中断。因供电设施检修、依法限电或者用户违法用电等原因，需要中断供电时，供电企业应当按照国家有关规定事先通知用户。用户对供电企业中断供电有异议的，可以向电力管理部门投诉；受理投诉的电力管理部门应当依法处理。</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第六十四条：违反本法第二十六条、第二十九条规定，拒绝供电或者中断供电的，由电力管理部门责令改正，给予警告；情节严重的，对有关主管人员和直接责任人员给予行政处分。</w:t>
            </w:r>
          </w:p>
          <w:p>
            <w:pPr>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2.【部门规章】《供用电监督管理办法》（1996年电力工业部令第4号发布，2011年国家发展和改革委员会令第10号修改）第二十六条：供电企业未按《电力法》和国家有关规定中规定的时间通知用户或进行公告，而对用户中断供电的，电力管理部门责令其改正，给予警告；情节严重的，对有关主管人员和直接责任人员给予行政处分。</w:t>
            </w:r>
          </w:p>
        </w:tc>
        <w:tc>
          <w:tcPr>
            <w:tcW w:w="445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1.立案责任：发现根据举报控告的违法行为或者上报移送的违法案件，及时制止并予以审查，决定是否立案。</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2.调查责任：依法回避；两人以上出示执法证件；制作笔录、收集证据；允许辩解陈述；保守有关秘密。</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4.告知责任：作出行政处罚决定前，制作《行政处罚告知书》，告知违法事实及其享有的陈述、申辩等权利；满足听证条件的，制作《行政处罚听证告知书》告知当事人有要求举行听证的权利。</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5.决定责任：制作行政处罚决定书，载明违法事实和证据、处罚依据和内容、申请行政复议或提起行政诉讼的途径和期限等内容（逾期不履行处罚决定的后果）。</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6.送达责任：行政处罚决定书按法律规定的方式送达当事人。</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7.执行责任：监督当事人在决定期限内履行义务；书面催告当事人及时履行处罚决定；依法申请人民法院强制执行。</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8.监管责任：对行政处罚等情况的监督检查。</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9.其他法律法规规章文件规定应履行的责任。</w:t>
            </w:r>
          </w:p>
        </w:tc>
        <w:tc>
          <w:tcPr>
            <w:tcW w:w="5690" w:type="dxa"/>
            <w:tcBorders>
              <w:top w:val="single" w:color="auto" w:sz="4" w:space="0"/>
              <w:left w:val="nil"/>
              <w:bottom w:val="single" w:color="auto" w:sz="4" w:space="0"/>
              <w:right w:val="single" w:color="auto" w:sz="4" w:space="0"/>
            </w:tcBorders>
            <w:vAlign w:val="center"/>
          </w:tcPr>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1.【法律】《中华人民共和国行政处罚法》第十七条：行政处罚由具有行政处罚权的行政机关在法定职权范围内实施。</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第二十二条：行政处罚由违法行为发生地的行政机关管辖。法律、行政法规、部门规章另有规定的，从其规定。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当事人或者有关人员应当如实回答询问，并协助调查或者检查，不得拒绝或者阻挠。询问或者检查应当制作笔录。</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2.【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符合立案标准的，行政机关应当及时立案。</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3.【法律】《中华人民共和国行政处罚法》第五十七条：调查终结，行政机关负责人应当对调查结果进行审查，根据不同情况，分别作出如下决定：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（一）确有应受行政处罚的违法行为的，根据情节轻重及具体情况，作出行政处罚决定；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（二）违法行为轻微，依法可以不予行政处罚的，不予行政处罚；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（三）违法事实不能成立的，不予行政处罚；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（四）违法行为涉嫌犯罪的，移送司法机关。</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对情节复杂或者重大违法行为给予行政处罚，行政机关负责人应当集体讨论决定。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第五十八条：有下列情形之一，在行政机关负责人作出行政处罚的决定之前，应当由从事行政处罚决定法制审核的人员进行法制审核；未经法制审核或者审核未通过的，不得作出决定：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（一）涉及重大公共利益的；</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（二）直接关系当事人或者第三人重大权益，经过听证程序的；</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（三）案件情况疑难复杂、涉及多个法律关系的；</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（四）法律、法规规定应当进行法制审核的其他情形。</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行政机关中初次从事行政处罚决定法制审核的人员，应当通过国家统一法律职业资格考试取得法律职业资格。</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4.【法律】《中华人民共和国行政处罚法》第四十四条：行政机关在作出行政处罚决定之前，应当告知当事人拟作出的行政处罚内容及事实、理由、依据，并告知当事人依法享有的陈述、申辩、要求听证等权利。</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第六十三条：行政机关拟作出下列行政处罚决定，应当告知当事人有要求听证的权利，当事人要求听证的，行政机关应当组织听证：</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一）较大数额罚款；（二）没收较大数额违法所得、没收较大价值非法财物；（三）降低资质等级、吊销许可证件；（四）责令停产停业、责令关闭、限制从业；（五）其他较重的行政处罚；（六）法律、法规、规章规定的其他情形。</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当事人不承担行政机关组织听证的费用。</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p>
        </w:tc>
        <w:tc>
          <w:tcPr>
            <w:tcW w:w="26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实施行政处罚，有下列情形之一的，应承担相应的责任：1.没有法律和事实依据实施行政处罚的；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2.执法人员玩忽职守，对应当予以制止和处罚的违法行为不予制止、处罚，致使公民、法人或社会合法权益、公共利益遭受损害的；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3.不具备行政执法资格实施行政处罚的；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4.擅自改变行政处罚种类、幅度的以及违反法定的行政处罚程序的；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5.违反“罚缴分离”规定，擅自收取罚款的以及截留、私分或者变相私分罚款的；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6.符合听证条件、行政管理相对人要求听证，应予组织听证而不组织听证的；</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7.其他违反法律法规规章文件规定的行为。</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1.【法律】《中华人民共和国行政处罚法》第</w:t>
            </w:r>
            <w:r>
              <w:rPr>
                <w:rFonts w:hint="eastAsia" w:ascii="Times New Roman" w:hAnsi="Times New Roman" w:eastAsia="仿宋_GB2312" w:cs="仿宋_GB2312"/>
                <w:snapToGrid w:val="0"/>
                <w:color w:val="000000"/>
                <w:sz w:val="20"/>
                <w:szCs w:val="20"/>
                <w:lang w:eastAsia="zh-CN"/>
              </w:rPr>
              <w:t>七</w:t>
            </w:r>
            <w:r>
              <w:rPr>
                <w:rFonts w:hint="eastAsia" w:ascii="Times New Roman" w:hAnsi="Times New Roman" w:eastAsia="仿宋_GB2312" w:cs="仿宋_GB2312"/>
                <w:snapToGrid w:val="0"/>
                <w:color w:val="000000"/>
                <w:sz w:val="20"/>
                <w:szCs w:val="20"/>
              </w:rPr>
              <w:t>十</w:t>
            </w:r>
            <w:r>
              <w:rPr>
                <w:rFonts w:hint="eastAsia" w:ascii="Times New Roman" w:hAnsi="Times New Roman" w:eastAsia="仿宋_GB2312" w:cs="仿宋_GB2312"/>
                <w:snapToGrid w:val="0"/>
                <w:color w:val="000000"/>
                <w:sz w:val="20"/>
                <w:szCs w:val="20"/>
                <w:lang w:eastAsia="zh-CN"/>
              </w:rPr>
              <w:t>六</w:t>
            </w:r>
            <w:r>
              <w:rPr>
                <w:rFonts w:hint="eastAsia" w:ascii="Times New Roman" w:hAnsi="Times New Roman" w:eastAsia="仿宋_GB2312" w:cs="仿宋_GB2312"/>
                <w:snapToGrid w:val="0"/>
                <w:color w:val="000000"/>
                <w:sz w:val="20"/>
                <w:szCs w:val="20"/>
              </w:rPr>
              <w:t>条“</w:t>
            </w:r>
            <w:r>
              <w:rPr>
                <w:rFonts w:hint="eastAsia" w:ascii="仿宋_GB2312" w:hAnsi="仿宋_GB2312" w:eastAsia="仿宋_GB2312" w:cs="仿宋_GB2312"/>
                <w:snapToGrid w:val="0"/>
                <w:color w:val="000000"/>
                <w:sz w:val="20"/>
                <w:szCs w:val="20"/>
              </w:rPr>
              <w:t>行政机关实施行政处罚，有下列情形之一，由上级行政机关或者有关机关责令改正，对直接负责的主管人员和其他直接责任人员依法给予处分：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（一）没有法定的行政处罚依据的；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（二）擅自改变行政处罚种类、幅度的；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（三）违反法定的行政处罚程序的；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（四）违反本法第二十条关于委托处罚的规定的；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（五）执法人员未取得执法证件的。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Times New Roman" w:hAnsi="Times New Roman" w:eastAsia="仿宋_GB2312" w:cs="仿宋_GB2312"/>
                <w:snapToGrid w:val="0"/>
                <w:color w:val="000000"/>
                <w:sz w:val="20"/>
                <w:szCs w:val="20"/>
                <w:lang w:eastAsia="zh-CN"/>
              </w:rPr>
            </w:pPr>
            <w:r>
              <w:rPr>
                <w:rFonts w:hint="eastAsia" w:ascii="仿宋_GB2312" w:hAnsi="仿宋_GB2312" w:eastAsia="仿宋_GB2312" w:cs="仿宋_GB2312"/>
                <w:snapToGrid w:val="0"/>
                <w:color w:val="000000"/>
                <w:sz w:val="20"/>
                <w:szCs w:val="20"/>
              </w:rPr>
              <w:t>行政机关对符合立案标准的案件不及时立案的，依照前款规定予以处理。</w:t>
            </w:r>
            <w:r>
              <w:rPr>
                <w:rFonts w:hint="eastAsia" w:ascii="仿宋_GB2312" w:hAnsi="仿宋_GB2312" w:eastAsia="仿宋_GB2312" w:cs="仿宋_GB2312"/>
                <w:snapToGrid w:val="0"/>
                <w:color w:val="000000"/>
                <w:sz w:val="20"/>
                <w:szCs w:val="20"/>
                <w:lang w:eastAsia="zh-CN"/>
              </w:rPr>
              <w:t>”</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2.【法律】《中华人民共和国行政处罚法》第</w:t>
            </w:r>
            <w:r>
              <w:rPr>
                <w:rFonts w:hint="eastAsia" w:ascii="Times New Roman" w:hAnsi="Times New Roman" w:eastAsia="仿宋_GB2312" w:cs="仿宋_GB2312"/>
                <w:snapToGrid w:val="0"/>
                <w:color w:val="000000"/>
                <w:sz w:val="20"/>
                <w:szCs w:val="20"/>
                <w:lang w:eastAsia="zh-CN"/>
              </w:rPr>
              <w:t>八</w:t>
            </w:r>
            <w:r>
              <w:rPr>
                <w:rFonts w:hint="eastAsia" w:ascii="Times New Roman" w:hAnsi="Times New Roman" w:eastAsia="仿宋_GB2312" w:cs="仿宋_GB2312"/>
                <w:snapToGrid w:val="0"/>
                <w:color w:val="000000"/>
                <w:sz w:val="20"/>
                <w:szCs w:val="20"/>
              </w:rPr>
              <w:t>十</w:t>
            </w:r>
            <w:r>
              <w:rPr>
                <w:rFonts w:hint="eastAsia" w:ascii="Times New Roman" w:hAnsi="Times New Roman" w:eastAsia="仿宋_GB2312" w:cs="仿宋_GB2312"/>
                <w:snapToGrid w:val="0"/>
                <w:color w:val="000000"/>
                <w:sz w:val="20"/>
                <w:szCs w:val="20"/>
                <w:lang w:eastAsia="zh-CN"/>
              </w:rPr>
              <w:t>三</w:t>
            </w:r>
            <w:r>
              <w:rPr>
                <w:rFonts w:hint="eastAsia" w:ascii="Times New Roman" w:hAnsi="Times New Roman" w:eastAsia="仿宋_GB2312" w:cs="仿宋_GB2312"/>
                <w:snapToGrid w:val="0"/>
                <w:color w:val="000000"/>
                <w:sz w:val="20"/>
                <w:szCs w:val="20"/>
              </w:rPr>
              <w:t>条“</w:t>
            </w:r>
            <w:r>
              <w:rPr>
                <w:rFonts w:hint="eastAsia" w:ascii="仿宋_GB2312" w:hAnsi="仿宋_GB2312" w:eastAsia="仿宋_GB2312" w:cs="仿宋_GB2312"/>
                <w:snapToGrid w:val="0"/>
                <w:color w:val="000000"/>
                <w:sz w:val="20"/>
                <w:szCs w:val="20"/>
              </w:rPr>
              <w:t>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Times New Roman" w:hAnsi="Times New Roman" w:eastAsia="仿宋_GB2312" w:cs="仿宋_GB2312"/>
                <w:snapToGrid w:val="0"/>
                <w:color w:val="000000"/>
                <w:sz w:val="20"/>
                <w:szCs w:val="20"/>
              </w:rPr>
              <w:t>”</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法律法规规定的免责情形以及市委、市政府有关文件中明确的免责情形。</w:t>
            </w:r>
          </w:p>
        </w:tc>
        <w:tc>
          <w:tcPr>
            <w:tcW w:w="4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r>
      <w:tr>
        <w:tblPrEx>
          <w:tblCellMar>
            <w:top w:w="28" w:type="dxa"/>
            <w:left w:w="28" w:type="dxa"/>
            <w:bottom w:w="28" w:type="dxa"/>
            <w:right w:w="28" w:type="dxa"/>
          </w:tblCellMar>
        </w:tblPrEx>
        <w:trPr>
          <w:cantSplit/>
          <w:trHeight w:val="12758" w:hRule="atLeast"/>
          <w:jc w:val="center"/>
        </w:trPr>
        <w:tc>
          <w:tcPr>
            <w:tcW w:w="2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124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2175" w:type="dxa"/>
            <w:tcBorders>
              <w:top w:val="single" w:color="auto" w:sz="4" w:space="0"/>
              <w:left w:val="nil"/>
              <w:bottom w:val="single" w:color="auto" w:sz="4" w:space="0"/>
              <w:right w:val="single" w:color="auto" w:sz="4" w:space="0"/>
            </w:tcBorders>
            <w:vAlign w:val="center"/>
          </w:tcPr>
          <w:p>
            <w:pPr>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p>
        </w:tc>
        <w:tc>
          <w:tcPr>
            <w:tcW w:w="445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p>
        </w:tc>
        <w:tc>
          <w:tcPr>
            <w:tcW w:w="5690" w:type="dxa"/>
            <w:tcBorders>
              <w:top w:val="single" w:color="auto" w:sz="4" w:space="0"/>
              <w:left w:val="nil"/>
              <w:bottom w:val="single" w:color="auto" w:sz="4" w:space="0"/>
              <w:right w:val="single" w:color="auto" w:sz="4" w:space="0"/>
            </w:tcBorders>
            <w:vAlign w:val="center"/>
          </w:tcPr>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六十四条：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5.【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对情节复杂或者重大违法行为给予行政处罚，行政机关负责人应当集体讨论决定。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6.【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当事人同意并签订确认书的，行政机关可以采用传真、电子邮件等方式，将行政处罚决定书等送达当事人。</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7.【法律】《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p>
          <w:p>
            <w:pPr>
              <w:spacing w:line="300" w:lineRule="exact"/>
              <w:ind w:firstLine="400" w:firstLineChars="200"/>
              <w:rPr>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8.【法律】《中华人民共和国行政处罚法》第七十五条：</w:t>
            </w:r>
            <w:r>
              <w:rPr>
                <w:rFonts w:ascii="仿宋_GB2312" w:hAnsi="仿宋_GB2312" w:eastAsia="仿宋_GB2312" w:cs="仿宋_GB2312"/>
                <w:color w:val="000000" w:themeColor="text1"/>
                <w:sz w:val="20"/>
                <w:szCs w:val="20"/>
                <w14:textFill>
                  <w14:solidFill>
                    <w14:schemeClr w14:val="tx1"/>
                  </w14:solidFill>
                </w14:textFill>
              </w:rPr>
              <w:t>行政机关应当建立健全对行政处罚的监督制度。县级以上人民政府应当定期组织开展行政执法评议、考核，加强对行政处罚的监督检查，规范和保障行政处罚的实施。</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ascii="仿宋_GB2312" w:hAnsi="仿宋_GB2312" w:eastAsia="仿宋_GB2312" w:cs="仿宋_GB2312"/>
                <w:color w:val="000000" w:themeColor="text1"/>
                <w:sz w:val="20"/>
                <w:szCs w:val="20"/>
                <w14:textFill>
                  <w14:solidFill>
                    <w14:schemeClr w14:val="tx1"/>
                  </w14:solidFill>
                </w14:textFill>
              </w:rPr>
              <w:t>行政机关实施行政处罚应当接受社会监督。公民、法人或者其他组织对行政机关实施行政处罚的行为，有权申诉或者检举；行政机</w:t>
            </w:r>
            <w:r>
              <w:rPr>
                <w:rFonts w:hint="eastAsia" w:ascii="仿宋_GB2312" w:hAnsi="仿宋_GB2312" w:eastAsia="仿宋_GB2312" w:cs="仿宋_GB2312"/>
                <w:snapToGrid w:val="0"/>
                <w:color w:val="000000" w:themeColor="text1"/>
                <w:sz w:val="20"/>
                <w:szCs w:val="20"/>
                <w14:textFill>
                  <w14:solidFill>
                    <w14:schemeClr w14:val="tx1"/>
                  </w14:solidFill>
                </w14:textFill>
              </w:rPr>
              <w:t>关应当认真审查，发现有错误的，应当主动改正。</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p>
          <w:p>
            <w:pPr>
              <w:widowControl/>
              <w:adjustRightInd w:val="0"/>
              <w:snapToGrid w:val="0"/>
              <w:spacing w:line="300" w:lineRule="exact"/>
              <w:ind w:firstLine="400" w:firstLineChars="200"/>
              <w:jc w:val="center"/>
              <w:rPr>
                <w:rFonts w:eastAsia="黑体" w:cs="黑体"/>
                <w:snapToGrid w:val="0"/>
                <w:color w:val="000000" w:themeColor="text1"/>
                <w:sz w:val="20"/>
                <w:szCs w:val="20"/>
                <w14:textFill>
                  <w14:solidFill>
                    <w14:schemeClr w14:val="tx1"/>
                  </w14:solidFill>
                </w14:textFill>
              </w:rPr>
            </w:pPr>
          </w:p>
        </w:tc>
        <w:tc>
          <w:tcPr>
            <w:tcW w:w="26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4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r>
      <w:tr>
        <w:tblPrEx>
          <w:tblCellMar>
            <w:top w:w="28" w:type="dxa"/>
            <w:left w:w="28" w:type="dxa"/>
            <w:bottom w:w="28" w:type="dxa"/>
            <w:right w:w="28" w:type="dxa"/>
          </w:tblCellMar>
        </w:tblPrEx>
        <w:trPr>
          <w:cantSplit/>
          <w:trHeight w:val="12758" w:hRule="atLeast"/>
          <w:jc w:val="center"/>
        </w:trPr>
        <w:tc>
          <w:tcPr>
            <w:tcW w:w="2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黑体" w:cs="黑体"/>
                <w:snapToGrid w:val="0"/>
                <w:color w:val="000000" w:themeColor="text1"/>
                <w:sz w:val="20"/>
                <w:szCs w:val="20"/>
                <w:lang w:val="en-US" w:eastAsia="zh-CN"/>
                <w14:textFill>
                  <w14:solidFill>
                    <w14:schemeClr w14:val="tx1"/>
                  </w14:solidFill>
                </w14:textFill>
              </w:rPr>
            </w:pPr>
            <w:r>
              <w:rPr>
                <w:rFonts w:hint="eastAsia" w:eastAsia="黑体" w:cs="黑体"/>
                <w:snapToGrid w:val="0"/>
                <w:color w:val="000000" w:themeColor="text1"/>
                <w:sz w:val="20"/>
                <w:szCs w:val="20"/>
                <w14:textFill>
                  <w14:solidFill>
                    <w14:schemeClr w14:val="tx1"/>
                  </w14:solidFill>
                </w14:textFill>
              </w:rPr>
              <w:t>1</w:t>
            </w:r>
            <w:r>
              <w:rPr>
                <w:rFonts w:hint="eastAsia" w:eastAsia="黑体" w:cs="黑体"/>
                <w:snapToGrid w:val="0"/>
                <w:color w:val="000000" w:themeColor="text1"/>
                <w:sz w:val="20"/>
                <w:szCs w:val="20"/>
                <w:lang w:val="en-US" w:eastAsia="zh-CN"/>
                <w14:textFill>
                  <w14:solidFill>
                    <w14:schemeClr w14:val="tx1"/>
                  </w14:solidFill>
                </w14:textFill>
              </w:rPr>
              <w:t>6</w:t>
            </w:r>
          </w:p>
        </w:tc>
        <w:tc>
          <w:tcPr>
            <w:tcW w:w="8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行政处罚</w:t>
            </w:r>
          </w:p>
        </w:tc>
        <w:tc>
          <w:tcPr>
            <w:tcW w:w="124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对危害供电、用电安全或者扰乱供电、用电秩序的处罚</w:t>
            </w:r>
          </w:p>
        </w:tc>
        <w:tc>
          <w:tcPr>
            <w:tcW w:w="87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lang w:eastAsia="zh-CN"/>
                <w14:textFill>
                  <w14:solidFill>
                    <w14:schemeClr w14:val="tx1"/>
                  </w14:solidFill>
                </w14:textFill>
              </w:rPr>
              <w:t>柳州市城中区工业和信息化局</w:t>
            </w:r>
          </w:p>
        </w:tc>
        <w:tc>
          <w:tcPr>
            <w:tcW w:w="217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【法律】《中华人民共和国电力法》第三十二条：用户用电不得危害供电、用电安全和扰乱供电、用电秩序。对危害供电、用电安全和扰乱供电、用电秩序的，供电企业有权制止。</w:t>
            </w:r>
          </w:p>
          <w:p>
            <w:pPr>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第六十五条：违反本法第三十二条规定，危害供电、用电安全或者扰乱供电、用电秩序的，由电力管理部门责令改正，给予警告；情节严重或者拒绝改正的，可以中止供电，可以并处五万元以下的罚款。</w:t>
            </w:r>
          </w:p>
        </w:tc>
        <w:tc>
          <w:tcPr>
            <w:tcW w:w="445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1.立案责任：发现根据举报控告的违法行为或者上报移送的违法案件，及时制止并予以审查，决定是否立案。</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2.调查责任：依法回避；两人以上出示执法证件；制作笔录、收集证据；允许辩解陈述；保守有关秘密。</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4.告知责任：作出行政处罚决定前，制作《行政处罚告知书》，告知违法事实及其享有的陈述、申辩等权利；满足听证条件的，制作《行政处罚听证告知书》告知当事人有要求举行听证的权利。</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5.决定责任：制作行政处罚决定书，载明违法事实和证据、处罚依据和内容、申请行政复议或提起行政诉讼的途径和期限等内容（逾期不履行处罚决定的后果）。</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6.送达责任：行政处罚决定书按法律规定的方式送达当事人。</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7.执行责任：监督当事人在决定期限内履行义务；书面催告当事人及时履行处罚决定；依法申请人民法院强制执行。</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8.监管责任：对行政处罚等情况的监督检查。</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9.其他法律法规规章文件规定应履行的责任。</w:t>
            </w:r>
          </w:p>
        </w:tc>
        <w:tc>
          <w:tcPr>
            <w:tcW w:w="5690" w:type="dxa"/>
            <w:tcBorders>
              <w:top w:val="single" w:color="auto" w:sz="4" w:space="0"/>
              <w:left w:val="nil"/>
              <w:bottom w:val="single" w:color="auto" w:sz="4" w:space="0"/>
              <w:right w:val="single" w:color="auto" w:sz="4" w:space="0"/>
            </w:tcBorders>
            <w:vAlign w:val="center"/>
          </w:tcPr>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1.【法律】《中华人民共和国行政处罚法》第十七条：行政处罚由具有行政处罚权的行政机关在法定职权范围内实施。</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第二十二条：行政处罚由违法行为发生地的行政机关管辖。法律、行政法规、部门规章另有规定的，从其规定。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当事人或者有关人员应当如实回答询问，并协助调查或者检查，不得拒绝或者阻挠。询问或者检查应当制作笔录。</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2.【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符合立案标准的，行政机关应当及时立案。</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3.【法律】《中华人民共和国行政处罚法》第五十七条：调查终结，行政机关负责人应当对调查结果进行审查，根据不同情况，分别作出如下决定：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（一）确有应受行政处罚的违法行为的，根据情节轻重及具体情况，作出行政处罚决定；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（二）违法行为轻微，依法可以不予行政处罚的，不予行政处罚；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（三）违法事实不能成立的，不予行政处罚；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（四）违法行为涉嫌犯罪的，移送司法机关。</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对情节复杂或者重大违法行为给予行政处罚，行政机关负责人应当集体讨论决定。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第五十八条：有下列情形之一，在行政机关负责人作出行政处罚的决定之前，应当由从事行政处罚决定法制审核的人员进行法制审核；未经法制审核或者审核未通过的，不得作出决定：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（一）涉及重大公共利益的；</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（二）直接关系当事人或者第三人重大权益，经过听证程序的；</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（三）案件情况疑难复杂、涉及多个法律关系的；</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（四）法律、法规规定应当进行法制审核的其他情形。</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行政机关中初次从事行政处罚决定法制审核的人员，应当通过国家统一法律职业资格考试取得法律职业资格。</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4.【法律】《中华人民共和国行政处罚法》第四十四条：行政机关在作出行政处罚决定之前，应当告知当事人拟作出的行政处罚内容及事实、理由、依据，并告知当事人依法享有的陈述、申辩、要求听证等权利。</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第六十三条：行政机关拟作出下列行政处罚决定，应当告知当事人有要求听证的权利，当事人要求听证的，行政机关应当组织听证：</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一）较大数额罚款；（二）没收较大数额违法所得、没收较大价值非法财物；（三）降低资质等级、吊销许可证件；（四）责令停产停业、责令关闭、限制从业；（五）其他较重的行政处罚；（六）法律、法规、规章规定的其他情形。</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当事人不承担行政机关组织听证的费用。</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p>
        </w:tc>
        <w:tc>
          <w:tcPr>
            <w:tcW w:w="26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实施行政处罚，有下列情形之一的，应承担相应的责任：</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1.没有法律和事实依据实施行政处罚的；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2.执法人员玩忽职守，对应当予以制止和处罚的违法行为不予制止、处罚，致使公民、法人或社会合法权益、公共利益遭受损害的；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3.不具备行政执法资格实施行政处罚的；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4.擅自改变行政处罚种类、幅度的以及违反法定的行政处罚程序的；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5.违反“罚缴分离”规定，擅自收取罚款的以及截留、私分或者变相私分罚款的；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6.符合听证条件、行政管理相对人要求听证，应予组织听证而不组织听证的；</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7.其他违反法律法规规章文件规定的行为。</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1.【法律】《中华人民共和国行政处罚法》第</w:t>
            </w:r>
            <w:r>
              <w:rPr>
                <w:rFonts w:hint="eastAsia" w:ascii="Times New Roman" w:hAnsi="Times New Roman" w:eastAsia="仿宋_GB2312" w:cs="仿宋_GB2312"/>
                <w:snapToGrid w:val="0"/>
                <w:color w:val="000000"/>
                <w:sz w:val="20"/>
                <w:szCs w:val="20"/>
                <w:lang w:eastAsia="zh-CN"/>
              </w:rPr>
              <w:t>七</w:t>
            </w:r>
            <w:r>
              <w:rPr>
                <w:rFonts w:hint="eastAsia" w:ascii="Times New Roman" w:hAnsi="Times New Roman" w:eastAsia="仿宋_GB2312" w:cs="仿宋_GB2312"/>
                <w:snapToGrid w:val="0"/>
                <w:color w:val="000000"/>
                <w:sz w:val="20"/>
                <w:szCs w:val="20"/>
              </w:rPr>
              <w:t>十</w:t>
            </w:r>
            <w:r>
              <w:rPr>
                <w:rFonts w:hint="eastAsia" w:ascii="Times New Roman" w:hAnsi="Times New Roman" w:eastAsia="仿宋_GB2312" w:cs="仿宋_GB2312"/>
                <w:snapToGrid w:val="0"/>
                <w:color w:val="000000"/>
                <w:sz w:val="20"/>
                <w:szCs w:val="20"/>
                <w:lang w:eastAsia="zh-CN"/>
              </w:rPr>
              <w:t>六</w:t>
            </w:r>
            <w:r>
              <w:rPr>
                <w:rFonts w:hint="eastAsia" w:ascii="Times New Roman" w:hAnsi="Times New Roman" w:eastAsia="仿宋_GB2312" w:cs="仿宋_GB2312"/>
                <w:snapToGrid w:val="0"/>
                <w:color w:val="000000"/>
                <w:sz w:val="20"/>
                <w:szCs w:val="20"/>
              </w:rPr>
              <w:t>条“</w:t>
            </w:r>
            <w:r>
              <w:rPr>
                <w:rFonts w:hint="eastAsia" w:ascii="仿宋_GB2312" w:hAnsi="仿宋_GB2312" w:eastAsia="仿宋_GB2312" w:cs="仿宋_GB2312"/>
                <w:snapToGrid w:val="0"/>
                <w:color w:val="000000"/>
                <w:sz w:val="20"/>
                <w:szCs w:val="20"/>
              </w:rPr>
              <w:t>行政机关实施行政处罚，有下列情形之一，由上级行政机关或者有关机关责令改正，对直接负责的主管人员和其他直接责任人员依法给予处分：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（一）没有法定的行政处罚依据的；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（二）擅自改变行政处罚种类、幅度的；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（三）违反法定的行政处罚程序的；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（四）违反本法第二十条关于委托处罚的规定的；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（五）执法人员未取得执法证件的。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Times New Roman" w:hAnsi="Times New Roman" w:eastAsia="仿宋_GB2312" w:cs="仿宋_GB2312"/>
                <w:snapToGrid w:val="0"/>
                <w:color w:val="000000"/>
                <w:sz w:val="20"/>
                <w:szCs w:val="20"/>
                <w:lang w:eastAsia="zh-CN"/>
              </w:rPr>
            </w:pPr>
            <w:r>
              <w:rPr>
                <w:rFonts w:hint="eastAsia" w:ascii="仿宋_GB2312" w:hAnsi="仿宋_GB2312" w:eastAsia="仿宋_GB2312" w:cs="仿宋_GB2312"/>
                <w:snapToGrid w:val="0"/>
                <w:color w:val="000000"/>
                <w:sz w:val="20"/>
                <w:szCs w:val="20"/>
              </w:rPr>
              <w:t>行政机关对符合立案标准的案件不及时立案的，依照前款规定予以处理。</w:t>
            </w:r>
            <w:r>
              <w:rPr>
                <w:rFonts w:hint="eastAsia" w:ascii="仿宋_GB2312" w:hAnsi="仿宋_GB2312" w:eastAsia="仿宋_GB2312" w:cs="仿宋_GB2312"/>
                <w:snapToGrid w:val="0"/>
                <w:color w:val="000000"/>
                <w:sz w:val="20"/>
                <w:szCs w:val="20"/>
                <w:lang w:eastAsia="zh-CN"/>
              </w:rPr>
              <w:t>”</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2.【法律】《中华人民共和国行政处罚法》第</w:t>
            </w:r>
            <w:r>
              <w:rPr>
                <w:rFonts w:hint="eastAsia" w:ascii="Times New Roman" w:hAnsi="Times New Roman" w:eastAsia="仿宋_GB2312" w:cs="仿宋_GB2312"/>
                <w:snapToGrid w:val="0"/>
                <w:color w:val="000000"/>
                <w:sz w:val="20"/>
                <w:szCs w:val="20"/>
                <w:lang w:eastAsia="zh-CN"/>
              </w:rPr>
              <w:t>八</w:t>
            </w:r>
            <w:r>
              <w:rPr>
                <w:rFonts w:hint="eastAsia" w:ascii="Times New Roman" w:hAnsi="Times New Roman" w:eastAsia="仿宋_GB2312" w:cs="仿宋_GB2312"/>
                <w:snapToGrid w:val="0"/>
                <w:color w:val="000000"/>
                <w:sz w:val="20"/>
                <w:szCs w:val="20"/>
              </w:rPr>
              <w:t>十</w:t>
            </w:r>
            <w:r>
              <w:rPr>
                <w:rFonts w:hint="eastAsia" w:ascii="Times New Roman" w:hAnsi="Times New Roman" w:eastAsia="仿宋_GB2312" w:cs="仿宋_GB2312"/>
                <w:snapToGrid w:val="0"/>
                <w:color w:val="000000"/>
                <w:sz w:val="20"/>
                <w:szCs w:val="20"/>
                <w:lang w:eastAsia="zh-CN"/>
              </w:rPr>
              <w:t>三</w:t>
            </w:r>
            <w:r>
              <w:rPr>
                <w:rFonts w:hint="eastAsia" w:ascii="Times New Roman" w:hAnsi="Times New Roman" w:eastAsia="仿宋_GB2312" w:cs="仿宋_GB2312"/>
                <w:snapToGrid w:val="0"/>
                <w:color w:val="000000"/>
                <w:sz w:val="20"/>
                <w:szCs w:val="20"/>
              </w:rPr>
              <w:t>条“</w:t>
            </w:r>
            <w:r>
              <w:rPr>
                <w:rFonts w:hint="eastAsia" w:ascii="仿宋_GB2312" w:hAnsi="仿宋_GB2312" w:eastAsia="仿宋_GB2312" w:cs="仿宋_GB2312"/>
                <w:snapToGrid w:val="0"/>
                <w:color w:val="000000"/>
                <w:sz w:val="20"/>
                <w:szCs w:val="20"/>
              </w:rPr>
              <w:t>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Times New Roman" w:hAnsi="Times New Roman" w:eastAsia="仿宋_GB2312" w:cs="仿宋_GB2312"/>
                <w:snapToGrid w:val="0"/>
                <w:color w:val="000000"/>
                <w:sz w:val="20"/>
                <w:szCs w:val="20"/>
              </w:rPr>
              <w:t>”</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法律法规规定的免责情形以及市委、市政府有关文件中明确的免责情形。</w:t>
            </w:r>
          </w:p>
        </w:tc>
        <w:tc>
          <w:tcPr>
            <w:tcW w:w="4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r>
      <w:tr>
        <w:tblPrEx>
          <w:tblCellMar>
            <w:top w:w="28" w:type="dxa"/>
            <w:left w:w="28" w:type="dxa"/>
            <w:bottom w:w="28" w:type="dxa"/>
            <w:right w:w="28" w:type="dxa"/>
          </w:tblCellMar>
        </w:tblPrEx>
        <w:trPr>
          <w:cantSplit/>
          <w:trHeight w:val="12758" w:hRule="atLeast"/>
          <w:jc w:val="center"/>
        </w:trPr>
        <w:tc>
          <w:tcPr>
            <w:tcW w:w="2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124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2175" w:type="dxa"/>
            <w:tcBorders>
              <w:top w:val="single" w:color="auto" w:sz="4" w:space="0"/>
              <w:left w:val="nil"/>
              <w:bottom w:val="single" w:color="auto" w:sz="4" w:space="0"/>
              <w:right w:val="single" w:color="auto" w:sz="4" w:space="0"/>
            </w:tcBorders>
            <w:vAlign w:val="center"/>
          </w:tcPr>
          <w:p>
            <w:pPr>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p>
        </w:tc>
        <w:tc>
          <w:tcPr>
            <w:tcW w:w="445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p>
        </w:tc>
        <w:tc>
          <w:tcPr>
            <w:tcW w:w="5690" w:type="dxa"/>
            <w:tcBorders>
              <w:top w:val="single" w:color="auto" w:sz="4" w:space="0"/>
              <w:left w:val="nil"/>
              <w:bottom w:val="single" w:color="auto" w:sz="4" w:space="0"/>
              <w:right w:val="single" w:color="auto" w:sz="4" w:space="0"/>
            </w:tcBorders>
            <w:vAlign w:val="center"/>
          </w:tcPr>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六十四条：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5.【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对情节复杂或者重大违法行为给予行政处罚，行政机关负责人应当集体讨论决定。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6.【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当事人同意并签订确认书的，行政机关可以采用传真、电子邮件等方式，将行政处罚决定书等送达当事人。</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7.【法律】《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p>
          <w:p>
            <w:pPr>
              <w:spacing w:line="300" w:lineRule="exact"/>
              <w:ind w:firstLine="400" w:firstLineChars="200"/>
              <w:rPr>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8.【法律】《中华人民共和国行政处罚法》第七十五条：</w:t>
            </w:r>
            <w:r>
              <w:rPr>
                <w:rFonts w:ascii="仿宋_GB2312" w:hAnsi="仿宋_GB2312" w:eastAsia="仿宋_GB2312" w:cs="仿宋_GB2312"/>
                <w:color w:val="000000" w:themeColor="text1"/>
                <w:sz w:val="20"/>
                <w:szCs w:val="20"/>
                <w14:textFill>
                  <w14:solidFill>
                    <w14:schemeClr w14:val="tx1"/>
                  </w14:solidFill>
                </w14:textFill>
              </w:rPr>
              <w:t>行政机关应当建立健全对行政处罚的监督制度。县级以上人民政府应当定期组织开展行政执法评议、考核，加强对行政处罚的监督检查，规范和保障行政处罚的实施。</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ascii="仿宋_GB2312" w:hAnsi="仿宋_GB2312" w:eastAsia="仿宋_GB2312" w:cs="仿宋_GB2312"/>
                <w:color w:val="000000" w:themeColor="text1"/>
                <w:sz w:val="20"/>
                <w:szCs w:val="20"/>
                <w14:textFill>
                  <w14:solidFill>
                    <w14:schemeClr w14:val="tx1"/>
                  </w14:solidFill>
                </w14:textFill>
              </w:rPr>
              <w:t>行政机关实施行政处罚应当接受社会监督。公民、法人或者其他组织对行政机关实施行政处罚的行为，有权申诉或者检举；行政机</w:t>
            </w:r>
            <w:r>
              <w:rPr>
                <w:rFonts w:hint="eastAsia" w:ascii="仿宋_GB2312" w:hAnsi="仿宋_GB2312" w:eastAsia="仿宋_GB2312" w:cs="仿宋_GB2312"/>
                <w:snapToGrid w:val="0"/>
                <w:color w:val="000000" w:themeColor="text1"/>
                <w:sz w:val="20"/>
                <w:szCs w:val="20"/>
                <w14:textFill>
                  <w14:solidFill>
                    <w14:schemeClr w14:val="tx1"/>
                  </w14:solidFill>
                </w14:textFill>
              </w:rPr>
              <w:t>关应当认真审查，发现有错误的，应当主动改正。</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p>
          <w:p>
            <w:pPr>
              <w:widowControl/>
              <w:adjustRightInd w:val="0"/>
              <w:snapToGrid w:val="0"/>
              <w:spacing w:line="300" w:lineRule="exact"/>
              <w:ind w:firstLine="400" w:firstLineChars="200"/>
              <w:jc w:val="center"/>
              <w:rPr>
                <w:rFonts w:eastAsia="黑体" w:cs="黑体"/>
                <w:snapToGrid w:val="0"/>
                <w:color w:val="000000" w:themeColor="text1"/>
                <w:sz w:val="20"/>
                <w:szCs w:val="20"/>
                <w14:textFill>
                  <w14:solidFill>
                    <w14:schemeClr w14:val="tx1"/>
                  </w14:solidFill>
                </w14:textFill>
              </w:rPr>
            </w:pPr>
          </w:p>
        </w:tc>
        <w:tc>
          <w:tcPr>
            <w:tcW w:w="26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4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r>
      <w:tr>
        <w:tblPrEx>
          <w:tblCellMar>
            <w:top w:w="28" w:type="dxa"/>
            <w:left w:w="28" w:type="dxa"/>
            <w:bottom w:w="28" w:type="dxa"/>
            <w:right w:w="28" w:type="dxa"/>
          </w:tblCellMar>
        </w:tblPrEx>
        <w:trPr>
          <w:cantSplit/>
          <w:trHeight w:val="12758" w:hRule="atLeast"/>
          <w:jc w:val="center"/>
        </w:trPr>
        <w:tc>
          <w:tcPr>
            <w:tcW w:w="2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黑体" w:cs="黑体"/>
                <w:snapToGrid w:val="0"/>
                <w:color w:val="000000" w:themeColor="text1"/>
                <w:sz w:val="20"/>
                <w:szCs w:val="20"/>
                <w:lang w:val="en-US" w:eastAsia="zh-CN"/>
                <w14:textFill>
                  <w14:solidFill>
                    <w14:schemeClr w14:val="tx1"/>
                  </w14:solidFill>
                </w14:textFill>
              </w:rPr>
            </w:pPr>
            <w:r>
              <w:rPr>
                <w:rFonts w:hint="eastAsia" w:eastAsia="黑体" w:cs="黑体"/>
                <w:snapToGrid w:val="0"/>
                <w:color w:val="000000" w:themeColor="text1"/>
                <w:sz w:val="20"/>
                <w:szCs w:val="20"/>
                <w14:textFill>
                  <w14:solidFill>
                    <w14:schemeClr w14:val="tx1"/>
                  </w14:solidFill>
                </w14:textFill>
              </w:rPr>
              <w:t>1</w:t>
            </w:r>
            <w:r>
              <w:rPr>
                <w:rFonts w:hint="eastAsia" w:eastAsia="黑体" w:cs="黑体"/>
                <w:snapToGrid w:val="0"/>
                <w:color w:val="000000" w:themeColor="text1"/>
                <w:sz w:val="20"/>
                <w:szCs w:val="20"/>
                <w:lang w:val="en-US" w:eastAsia="zh-CN"/>
                <w14:textFill>
                  <w14:solidFill>
                    <w14:schemeClr w14:val="tx1"/>
                  </w14:solidFill>
                </w14:textFill>
              </w:rPr>
              <w:t>7</w:t>
            </w:r>
          </w:p>
        </w:tc>
        <w:tc>
          <w:tcPr>
            <w:tcW w:w="8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行政处罚</w:t>
            </w:r>
          </w:p>
        </w:tc>
        <w:tc>
          <w:tcPr>
            <w:tcW w:w="124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对危害发电设施、变电设施和电力线路设施的处罚</w:t>
            </w:r>
          </w:p>
        </w:tc>
        <w:tc>
          <w:tcPr>
            <w:tcW w:w="87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lang w:eastAsia="zh-CN"/>
                <w14:textFill>
                  <w14:solidFill>
                    <w14:schemeClr w14:val="tx1"/>
                  </w14:solidFill>
                </w14:textFill>
              </w:rPr>
              <w:t>柳州市城中区工业和信息化局</w:t>
            </w:r>
          </w:p>
        </w:tc>
        <w:tc>
          <w:tcPr>
            <w:tcW w:w="2175" w:type="dxa"/>
            <w:tcBorders>
              <w:top w:val="single" w:color="auto" w:sz="4" w:space="0"/>
              <w:left w:val="nil"/>
              <w:bottom w:val="single" w:color="auto" w:sz="4" w:space="0"/>
              <w:right w:val="single" w:color="auto" w:sz="4" w:space="0"/>
            </w:tcBorders>
            <w:vAlign w:val="center"/>
          </w:tcPr>
          <w:p>
            <w:pPr>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行政法规】《电力设施保护条例》（1987年9月15日国务院发布，2011年国务院令第588号修改）第二十七条：违反本条例规定，危害发电设施、变电设施和电力线路设施的，由电力管理部门责令改正；拒不改正的，处1万元以下的罚款。</w:t>
            </w:r>
          </w:p>
        </w:tc>
        <w:tc>
          <w:tcPr>
            <w:tcW w:w="445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1.立案责任：发现根据举报控告的违法行为或者上报移送的违法案件，及时制止并予以审查，决定是否立案。</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2.调查责任：依法回避；两人以上出示执法证件；制作笔录、收集证据；允许辩解陈述；保守有关秘密。</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4.告知责任：作出行政处罚决定前，制作《行政处罚告知书》，告知违法事实及其享有的陈述、申辩等权利；满足听证条件的，制作《行政处罚听证告知书》告知当事人有要求举行听证的权利。</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5.决定责任：制作行政处罚决定书，载明违法事实和证据、处罚依据和内容、申请行政复议或提起行政诉讼的途径和期限等内容（逾期不履行处罚决定的后果）。</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6.送达责任：行政处罚决定书按法律规定的方式送达当事人。</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7.执行责任：监督当事人在决定期限内履行义务；书面催告当事人及时履行处罚决定；依法申请人民法院强制执行。</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8.监管责任：对行政处罚等情况的监督检查。</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9.其他法律法规规章文件规定应履行的责任。</w:t>
            </w:r>
          </w:p>
        </w:tc>
        <w:tc>
          <w:tcPr>
            <w:tcW w:w="5690" w:type="dxa"/>
            <w:tcBorders>
              <w:top w:val="single" w:color="auto" w:sz="4" w:space="0"/>
              <w:left w:val="nil"/>
              <w:bottom w:val="single" w:color="auto" w:sz="4" w:space="0"/>
              <w:right w:val="single" w:color="auto" w:sz="4" w:space="0"/>
            </w:tcBorders>
            <w:vAlign w:val="center"/>
          </w:tcPr>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1.【法律】《中华人民共和国行政处罚法》第十七条：行政处罚由具有行政处罚权的行政机关在法定职权范围内实施。</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第二十二条：行政处罚由违法行为发生地的行政机关管辖。法律、行政法规、部门规章另有规定的，从其规定。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当事人或者有关人员应当如实回答询问，并协助调查或者检查，不得拒绝或者阻挠。询问或者检查应当制作笔录。</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2.【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符合立案标准的，行政机关应当及时立案。</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3.【法律】《中华人民共和国行政处罚法》第五十七条：调查终结，行政机关负责人应当对调查结果进行审查，根据不同情况，分别作出如下决定：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（一）确有应受行政处罚的违法行为的，根据情节轻重及具体情况，作出行政处罚决定；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（二）违法行为轻微，依法可以不予行政处罚的，不予行政处罚；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（三）违法事实不能成立的，不予行政处罚；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（四）违法行为涉嫌犯罪的，移送司法机关。</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对情节复杂或者重大违法行为给予行政处罚，行政机关负责人应当集体讨论决定。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第五十八条：有下列情形之一，在行政机关负责人作出行政处罚的决定之前，应当由从事行政处罚决定法制审核的人员进行法制审核；未经法制审核或者审核未通过的，不得作出决定：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（一）涉及重大公共利益的；</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（二）直接关系当事人或者第三人重大权益，经过听证程序的；</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（三）案件情况疑难复杂、涉及多个法律关系的；</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（四）法律、法规规定应当进行法制审核的其他情形。</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行政机关中初次从事行政处罚决定法制审核的人员，应当通过国家统一法律职业资格考试取得法律职业资格。</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4.【法律】《中华人民共和国行政处罚法》第四十四条：行政机关在作出行政处罚决定之前，应当告知当事人拟作出的行政处罚内容及事实、理由、依据，并告知当事人依法享有的陈述、申辩、要求听证等权利。</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第六十三条：行政机关拟作出下列行政处罚决定，应当告知当事人有要求听证的权利，当事人要求听证的，行政机关应当组织听证：</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一）较大数额罚款；（二）没收较大数额违法所得、没收较大价值非法财物；（三）降低资质等级、吊销许可证件；（四）责令停产停业、责令关闭、限制从业；（五）其他较重的行政处罚；（六）法律、法规、规章规定的其他情形。</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当事人不承担行政机关组织听证的费用。</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p>
        </w:tc>
        <w:tc>
          <w:tcPr>
            <w:tcW w:w="26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实施行政处罚，有下列情形之一的，应承担相应的责任：</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1.没有法律和事实依据实施行政处罚的；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2.执法人员玩忽职守，对应当予以制止和处罚的违法行为不予制止、处罚，致使公民、法人或社会合法权益、公共利益遭受损害的；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3.不具备行政执法资格实施行政处罚的；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4.擅自改变行政处罚种类、幅度的以及违反法定的行政处罚程序的；</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5.违反“罚缴分离”规定，擅自收取罚款的以及截留、私分或者变相私分罚款的；</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1.【法律】《中华人民共和国行政处罚法》第</w:t>
            </w:r>
            <w:r>
              <w:rPr>
                <w:rFonts w:hint="eastAsia" w:ascii="Times New Roman" w:hAnsi="Times New Roman" w:eastAsia="仿宋_GB2312" w:cs="仿宋_GB2312"/>
                <w:snapToGrid w:val="0"/>
                <w:color w:val="000000"/>
                <w:sz w:val="20"/>
                <w:szCs w:val="20"/>
                <w:lang w:eastAsia="zh-CN"/>
              </w:rPr>
              <w:t>七</w:t>
            </w:r>
            <w:r>
              <w:rPr>
                <w:rFonts w:hint="eastAsia" w:ascii="Times New Roman" w:hAnsi="Times New Roman" w:eastAsia="仿宋_GB2312" w:cs="仿宋_GB2312"/>
                <w:snapToGrid w:val="0"/>
                <w:color w:val="000000"/>
                <w:sz w:val="20"/>
                <w:szCs w:val="20"/>
              </w:rPr>
              <w:t>十</w:t>
            </w:r>
            <w:r>
              <w:rPr>
                <w:rFonts w:hint="eastAsia" w:ascii="Times New Roman" w:hAnsi="Times New Roman" w:eastAsia="仿宋_GB2312" w:cs="仿宋_GB2312"/>
                <w:snapToGrid w:val="0"/>
                <w:color w:val="000000"/>
                <w:sz w:val="20"/>
                <w:szCs w:val="20"/>
                <w:lang w:eastAsia="zh-CN"/>
              </w:rPr>
              <w:t>六</w:t>
            </w:r>
            <w:r>
              <w:rPr>
                <w:rFonts w:hint="eastAsia" w:ascii="Times New Roman" w:hAnsi="Times New Roman" w:eastAsia="仿宋_GB2312" w:cs="仿宋_GB2312"/>
                <w:snapToGrid w:val="0"/>
                <w:color w:val="000000"/>
                <w:sz w:val="20"/>
                <w:szCs w:val="20"/>
              </w:rPr>
              <w:t>条“</w:t>
            </w:r>
            <w:r>
              <w:rPr>
                <w:rFonts w:hint="eastAsia" w:ascii="仿宋_GB2312" w:hAnsi="仿宋_GB2312" w:eastAsia="仿宋_GB2312" w:cs="仿宋_GB2312"/>
                <w:snapToGrid w:val="0"/>
                <w:color w:val="000000"/>
                <w:sz w:val="20"/>
                <w:szCs w:val="20"/>
              </w:rPr>
              <w:t>行政机关实施行政处罚，有下列情形之一，由上级行政机关或者有关机关责令改正，对直接负责的主管人员和其他直接责任人员依法给予处分：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（一）没有法定的行政处罚依据的；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（二）擅自改变行政处罚种类、幅度的；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（三）违反法定的行政处罚程序的；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（四）违反本法第二十条关于委托处罚的规定的；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（五）执法人员未取得执法证件的。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Times New Roman" w:hAnsi="Times New Roman" w:eastAsia="仿宋_GB2312" w:cs="仿宋_GB2312"/>
                <w:snapToGrid w:val="0"/>
                <w:color w:val="000000"/>
                <w:sz w:val="20"/>
                <w:szCs w:val="20"/>
                <w:lang w:eastAsia="zh-CN"/>
              </w:rPr>
            </w:pPr>
            <w:r>
              <w:rPr>
                <w:rFonts w:hint="eastAsia" w:ascii="仿宋_GB2312" w:hAnsi="仿宋_GB2312" w:eastAsia="仿宋_GB2312" w:cs="仿宋_GB2312"/>
                <w:snapToGrid w:val="0"/>
                <w:color w:val="000000"/>
                <w:sz w:val="20"/>
                <w:szCs w:val="20"/>
              </w:rPr>
              <w:t>行政机关对符合立案标准的案件不及时立案的，依照前款规定予以处理。</w:t>
            </w:r>
            <w:r>
              <w:rPr>
                <w:rFonts w:hint="eastAsia" w:ascii="仿宋_GB2312" w:hAnsi="仿宋_GB2312" w:eastAsia="仿宋_GB2312" w:cs="仿宋_GB2312"/>
                <w:snapToGrid w:val="0"/>
                <w:color w:val="000000"/>
                <w:sz w:val="20"/>
                <w:szCs w:val="20"/>
                <w:lang w:eastAsia="zh-CN"/>
              </w:rPr>
              <w:t>”</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2.【法律】《中华人民共和国行政处罚法》第</w:t>
            </w:r>
            <w:r>
              <w:rPr>
                <w:rFonts w:hint="eastAsia" w:ascii="Times New Roman" w:hAnsi="Times New Roman" w:eastAsia="仿宋_GB2312" w:cs="仿宋_GB2312"/>
                <w:snapToGrid w:val="0"/>
                <w:color w:val="000000"/>
                <w:sz w:val="20"/>
                <w:szCs w:val="20"/>
                <w:lang w:eastAsia="zh-CN"/>
              </w:rPr>
              <w:t>八</w:t>
            </w:r>
            <w:r>
              <w:rPr>
                <w:rFonts w:hint="eastAsia" w:ascii="Times New Roman" w:hAnsi="Times New Roman" w:eastAsia="仿宋_GB2312" w:cs="仿宋_GB2312"/>
                <w:snapToGrid w:val="0"/>
                <w:color w:val="000000"/>
                <w:sz w:val="20"/>
                <w:szCs w:val="20"/>
              </w:rPr>
              <w:t>十</w:t>
            </w:r>
            <w:r>
              <w:rPr>
                <w:rFonts w:hint="eastAsia" w:ascii="Times New Roman" w:hAnsi="Times New Roman" w:eastAsia="仿宋_GB2312" w:cs="仿宋_GB2312"/>
                <w:snapToGrid w:val="0"/>
                <w:color w:val="000000"/>
                <w:sz w:val="20"/>
                <w:szCs w:val="20"/>
                <w:lang w:eastAsia="zh-CN"/>
              </w:rPr>
              <w:t>三</w:t>
            </w:r>
            <w:r>
              <w:rPr>
                <w:rFonts w:hint="eastAsia" w:ascii="Times New Roman" w:hAnsi="Times New Roman" w:eastAsia="仿宋_GB2312" w:cs="仿宋_GB2312"/>
                <w:snapToGrid w:val="0"/>
                <w:color w:val="000000"/>
                <w:sz w:val="20"/>
                <w:szCs w:val="20"/>
              </w:rPr>
              <w:t>条“</w:t>
            </w:r>
            <w:r>
              <w:rPr>
                <w:rFonts w:hint="eastAsia" w:ascii="仿宋_GB2312" w:hAnsi="仿宋_GB2312" w:eastAsia="仿宋_GB2312" w:cs="仿宋_GB2312"/>
                <w:snapToGrid w:val="0"/>
                <w:color w:val="000000"/>
                <w:sz w:val="20"/>
                <w:szCs w:val="20"/>
              </w:rPr>
              <w:t>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Times New Roman" w:hAnsi="Times New Roman" w:eastAsia="仿宋_GB2312" w:cs="仿宋_GB2312"/>
                <w:snapToGrid w:val="0"/>
                <w:color w:val="000000"/>
                <w:sz w:val="20"/>
                <w:szCs w:val="20"/>
              </w:rPr>
              <w:t>”</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法律法规规定的免责情形以及市委、市政府有关文件中明确的免责情形。</w:t>
            </w:r>
          </w:p>
        </w:tc>
        <w:tc>
          <w:tcPr>
            <w:tcW w:w="4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r>
      <w:tr>
        <w:tblPrEx>
          <w:tblCellMar>
            <w:top w:w="28" w:type="dxa"/>
            <w:left w:w="28" w:type="dxa"/>
            <w:bottom w:w="28" w:type="dxa"/>
            <w:right w:w="28" w:type="dxa"/>
          </w:tblCellMar>
        </w:tblPrEx>
        <w:trPr>
          <w:cantSplit/>
          <w:trHeight w:val="12758" w:hRule="atLeast"/>
          <w:jc w:val="center"/>
        </w:trPr>
        <w:tc>
          <w:tcPr>
            <w:tcW w:w="2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124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2175" w:type="dxa"/>
            <w:tcBorders>
              <w:top w:val="single" w:color="auto" w:sz="4" w:space="0"/>
              <w:left w:val="nil"/>
              <w:bottom w:val="single" w:color="auto" w:sz="4" w:space="0"/>
              <w:right w:val="single" w:color="auto" w:sz="4" w:space="0"/>
            </w:tcBorders>
            <w:vAlign w:val="center"/>
          </w:tcPr>
          <w:p>
            <w:pPr>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p>
        </w:tc>
        <w:tc>
          <w:tcPr>
            <w:tcW w:w="445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p>
        </w:tc>
        <w:tc>
          <w:tcPr>
            <w:tcW w:w="5690" w:type="dxa"/>
            <w:tcBorders>
              <w:top w:val="single" w:color="auto" w:sz="4" w:space="0"/>
              <w:left w:val="nil"/>
              <w:bottom w:val="single" w:color="auto" w:sz="4" w:space="0"/>
              <w:right w:val="single" w:color="auto" w:sz="4" w:space="0"/>
            </w:tcBorders>
            <w:vAlign w:val="center"/>
          </w:tcPr>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六十四条：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5.【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对情节复杂或者重大违法行为给予行政处罚，行政机关负责人应当集体讨论决定。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6.【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当事人同意并签订确认书的，行政机关可以采用传真、电子邮件等方式，将行政处罚决定书等送达当事人。</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7.【法律】《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p>
          <w:p>
            <w:pPr>
              <w:spacing w:line="300" w:lineRule="exact"/>
              <w:ind w:firstLine="400" w:firstLineChars="200"/>
              <w:rPr>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8.【法律】《中华人民共和国行政处罚法》第七十五条：</w:t>
            </w:r>
            <w:r>
              <w:rPr>
                <w:rFonts w:ascii="仿宋_GB2312" w:hAnsi="仿宋_GB2312" w:eastAsia="仿宋_GB2312" w:cs="仿宋_GB2312"/>
                <w:color w:val="000000" w:themeColor="text1"/>
                <w:sz w:val="20"/>
                <w:szCs w:val="20"/>
                <w14:textFill>
                  <w14:solidFill>
                    <w14:schemeClr w14:val="tx1"/>
                  </w14:solidFill>
                </w14:textFill>
              </w:rPr>
              <w:t>行政机关应当建立健全对行政处罚的监督制度。县级以上人民政府应当定期组织开展行政执法评议、考核，加强对行政处罚的监督检查，规范和保障行政处罚的实施。</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ascii="仿宋_GB2312" w:hAnsi="仿宋_GB2312" w:eastAsia="仿宋_GB2312" w:cs="仿宋_GB2312"/>
                <w:color w:val="000000" w:themeColor="text1"/>
                <w:sz w:val="20"/>
                <w:szCs w:val="20"/>
                <w14:textFill>
                  <w14:solidFill>
                    <w14:schemeClr w14:val="tx1"/>
                  </w14:solidFill>
                </w14:textFill>
              </w:rPr>
              <w:t>行政机关实施行政处罚应当接受社会监督。公民、法人或者其他组织对行政机关实施行政处罚的行为，有权申诉或者检举；行政机</w:t>
            </w:r>
            <w:r>
              <w:rPr>
                <w:rFonts w:hint="eastAsia" w:ascii="仿宋_GB2312" w:hAnsi="仿宋_GB2312" w:eastAsia="仿宋_GB2312" w:cs="仿宋_GB2312"/>
                <w:snapToGrid w:val="0"/>
                <w:color w:val="000000" w:themeColor="text1"/>
                <w:sz w:val="20"/>
                <w:szCs w:val="20"/>
                <w14:textFill>
                  <w14:solidFill>
                    <w14:schemeClr w14:val="tx1"/>
                  </w14:solidFill>
                </w14:textFill>
              </w:rPr>
              <w:t>关应当认真审查，发现有错误的，应当主动改正。</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p>
          <w:p>
            <w:pPr>
              <w:widowControl/>
              <w:adjustRightInd w:val="0"/>
              <w:snapToGrid w:val="0"/>
              <w:spacing w:line="300" w:lineRule="exact"/>
              <w:ind w:firstLine="400" w:firstLineChars="200"/>
              <w:jc w:val="center"/>
              <w:rPr>
                <w:rFonts w:eastAsia="黑体" w:cs="黑体"/>
                <w:snapToGrid w:val="0"/>
                <w:color w:val="000000" w:themeColor="text1"/>
                <w:sz w:val="20"/>
                <w:szCs w:val="20"/>
                <w14:textFill>
                  <w14:solidFill>
                    <w14:schemeClr w14:val="tx1"/>
                  </w14:solidFill>
                </w14:textFill>
              </w:rPr>
            </w:pPr>
          </w:p>
        </w:tc>
        <w:tc>
          <w:tcPr>
            <w:tcW w:w="26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4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r>
      <w:tr>
        <w:tblPrEx>
          <w:tblCellMar>
            <w:top w:w="28" w:type="dxa"/>
            <w:left w:w="28" w:type="dxa"/>
            <w:bottom w:w="28" w:type="dxa"/>
            <w:right w:w="28" w:type="dxa"/>
          </w:tblCellMar>
        </w:tblPrEx>
        <w:trPr>
          <w:cantSplit/>
          <w:trHeight w:val="12758" w:hRule="atLeast"/>
          <w:jc w:val="center"/>
        </w:trPr>
        <w:tc>
          <w:tcPr>
            <w:tcW w:w="2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黑体" w:cs="黑体"/>
                <w:snapToGrid w:val="0"/>
                <w:color w:val="000000" w:themeColor="text1"/>
                <w:sz w:val="20"/>
                <w:szCs w:val="20"/>
                <w:lang w:val="en-US" w:eastAsia="zh-CN"/>
                <w14:textFill>
                  <w14:solidFill>
                    <w14:schemeClr w14:val="tx1"/>
                  </w14:solidFill>
                </w14:textFill>
              </w:rPr>
            </w:pPr>
            <w:r>
              <w:rPr>
                <w:rFonts w:hint="eastAsia" w:eastAsia="黑体" w:cs="黑体"/>
                <w:snapToGrid w:val="0"/>
                <w:color w:val="000000" w:themeColor="text1"/>
                <w:sz w:val="20"/>
                <w:szCs w:val="20"/>
                <w:lang w:val="en-US" w:eastAsia="zh-CN"/>
                <w14:textFill>
                  <w14:solidFill>
                    <w14:schemeClr w14:val="tx1"/>
                  </w14:solidFill>
                </w14:textFill>
              </w:rPr>
              <w:t>18</w:t>
            </w:r>
          </w:p>
        </w:tc>
        <w:tc>
          <w:tcPr>
            <w:tcW w:w="8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行政处罚</w:t>
            </w:r>
          </w:p>
        </w:tc>
        <w:tc>
          <w:tcPr>
            <w:tcW w:w="124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对盗窃电能的处罚</w:t>
            </w:r>
          </w:p>
        </w:tc>
        <w:tc>
          <w:tcPr>
            <w:tcW w:w="87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lang w:eastAsia="zh-CN"/>
                <w14:textFill>
                  <w14:solidFill>
                    <w14:schemeClr w14:val="tx1"/>
                  </w14:solidFill>
                </w14:textFill>
              </w:rPr>
              <w:t>柳州市城中区工业和信息化局</w:t>
            </w:r>
          </w:p>
        </w:tc>
        <w:tc>
          <w:tcPr>
            <w:tcW w:w="2175" w:type="dxa"/>
            <w:tcBorders>
              <w:top w:val="single" w:color="auto" w:sz="4" w:space="0"/>
              <w:left w:val="nil"/>
              <w:bottom w:val="single" w:color="auto" w:sz="4" w:space="0"/>
              <w:right w:val="single" w:color="auto" w:sz="4" w:space="0"/>
            </w:tcBorders>
            <w:vAlign w:val="center"/>
          </w:tcPr>
          <w:p>
            <w:pPr>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【法律】《中华人民共和国电力法》第七十一条：盗窃电能的，由电力管理部门责令停止违法行为，追缴电费并处应交电费五倍以下的罚款；构成犯罪的，依照刑法有关规定追究刑事责任。</w:t>
            </w:r>
          </w:p>
        </w:tc>
        <w:tc>
          <w:tcPr>
            <w:tcW w:w="445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1.立案责任：发现根据举报控告的违法行为或者上报移送的违法案件，及时制止并予以审查，决定是否立案。</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2.调查责任：依法回避；两人以上出示执法证件；制作笔录、收集证据；允许辩解陈述；保守有关秘密。</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4.告知责任：作出行政处罚决定前，制作《行政处罚告知书》，告知违法事实及其享有的陈述、申辩等权利；满足听证条件的，制作《行政处罚听证告知书》告知当事人有要求举行听证的权利。</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5.决定责任：制作行政处罚决定书，载明违法事实和证据、处罚依据和内容、申请行政复议或提起行政诉讼的途径和期限等内容（逾期不履行处罚决定的后果）。</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6.送达责任：行政处罚决定书按法律规定的方式送达当事人。</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7.执行责任：监督当事人在决定期限内履行义务；书面催告当事人及时履行处罚决定；依法申请人民法院强制执行。</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8.监管责任：对行政处罚等情况的监督检查。</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9.其他法律法规规章文件规定应履行的责任。</w:t>
            </w:r>
          </w:p>
        </w:tc>
        <w:tc>
          <w:tcPr>
            <w:tcW w:w="5690" w:type="dxa"/>
            <w:tcBorders>
              <w:top w:val="single" w:color="auto" w:sz="4" w:space="0"/>
              <w:left w:val="nil"/>
              <w:bottom w:val="single" w:color="auto" w:sz="4" w:space="0"/>
              <w:right w:val="single" w:color="auto" w:sz="4" w:space="0"/>
            </w:tcBorders>
            <w:vAlign w:val="center"/>
          </w:tcPr>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1.【法律】《中华人民共和国行政处罚法》第十七条：行政处罚由具有行政处罚权的行政机关在法定职权范围内实施。</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第二十二条：行政处罚由违法行为发生地的行政机关管辖。法律、行政法规、部门规章另有规定的，从其规定。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当事人或者有关人员应当如实回答询问，并协助调查或者检查，不得拒绝或者阻挠。询问或者检查应当制作笔录。</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2.【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符合立案标准的，行政机关应当及时立案。</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3.【法律】《中华人民共和国行政处罚法》第五十七条：调查终结，行政机关负责人应当对调查结果进行审查，根据不同情况，分别作出如下决定：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（一）确有应受行政处罚的违法行为的，根据情节轻重及具体情况，作出行政处罚决定；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（二）违法行为轻微，依法可以不予行政处罚的，不予行政处罚；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（三）违法事实不能成立的，不予行政处罚；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（四）违法行为涉嫌犯罪的，移送司法机关。</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对情节复杂或者重大违法行为给予行政处罚，行政机关负责人应当集体讨论决定。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第五十八条：有下列情形之一，在行政机关负责人作出行政处罚的决定之前，应当由从事行政处罚决定法制审核的人员进行法制审核；未经法制审核或者审核未通过的，不得作出决定：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（一）涉及重大公共利益的；</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（二）直接关系当事人或者第三人重大权益，经过听证程序的；</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（三）案件情况疑难复杂、涉及多个法律关系的；</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（四）法律、法规规定应当进行法制审核的其他情形。</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行政机关中初次从事行政处罚决定法制审核的人员，应当通过国家统一法律职业资格考试取得法律职业资格。</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4.【法律】《中华人民共和国行政处罚法》第四十四条：行政机关在作出行政处罚决定之前，应当告知当事人拟作出的行政处罚内容及事实、理由、依据，并告知当事人依法享有的陈述、申辩、要求听证等权利。</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第六十三条：行政机关拟作出下列行政处罚决定，应当告知当事人有要求听证的权利，当事人要求听证的，行政机关应当组织听证：</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一）较大数额罚款；（二）没收较大数额违法所得、没收较大价值非法财物；（三）降低资质等级、吊销许可证件；（四）责令停产停业、责令关闭、限制从业；（五）其他较重的行政处罚；（六）法律、法规、规章规定的其他情形。</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当事人不承担行政机关组织听证的费用。</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p>
        </w:tc>
        <w:tc>
          <w:tcPr>
            <w:tcW w:w="26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实施行政处罚，有下列情形之一的，应承担相应的责任：</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1.没有法律和事实依据实施行政处罚的；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2.执法人员玩忽职守，对应当予以制止和处罚的违法行为不予制止、处罚，致使公民、法人或社会合法权益、公共利益遭受损害的；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3.不具备行政执法资格实施行政处罚的；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4.擅自改变行政处罚种类、幅度的以及违反法定的行政处罚程序的；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5.违反“罚缴分离”规定，擅自收取罚款的以及截留、私分或者变相私分罚款的；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6.符合听证条件、行政管理相对人要求听证，应予组织听证而不组织听证的；</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7.其他违反法律法规规章文件规定的行为。</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1.【法律】《中华人民共和国行政处罚法》第</w:t>
            </w:r>
            <w:r>
              <w:rPr>
                <w:rFonts w:hint="eastAsia" w:ascii="Times New Roman" w:hAnsi="Times New Roman" w:eastAsia="仿宋_GB2312" w:cs="仿宋_GB2312"/>
                <w:snapToGrid w:val="0"/>
                <w:color w:val="000000"/>
                <w:sz w:val="20"/>
                <w:szCs w:val="20"/>
                <w:lang w:eastAsia="zh-CN"/>
              </w:rPr>
              <w:t>七</w:t>
            </w:r>
            <w:r>
              <w:rPr>
                <w:rFonts w:hint="eastAsia" w:ascii="Times New Roman" w:hAnsi="Times New Roman" w:eastAsia="仿宋_GB2312" w:cs="仿宋_GB2312"/>
                <w:snapToGrid w:val="0"/>
                <w:color w:val="000000"/>
                <w:sz w:val="20"/>
                <w:szCs w:val="20"/>
              </w:rPr>
              <w:t>十</w:t>
            </w:r>
            <w:r>
              <w:rPr>
                <w:rFonts w:hint="eastAsia" w:ascii="Times New Roman" w:hAnsi="Times New Roman" w:eastAsia="仿宋_GB2312" w:cs="仿宋_GB2312"/>
                <w:snapToGrid w:val="0"/>
                <w:color w:val="000000"/>
                <w:sz w:val="20"/>
                <w:szCs w:val="20"/>
                <w:lang w:eastAsia="zh-CN"/>
              </w:rPr>
              <w:t>六</w:t>
            </w:r>
            <w:r>
              <w:rPr>
                <w:rFonts w:hint="eastAsia" w:ascii="Times New Roman" w:hAnsi="Times New Roman" w:eastAsia="仿宋_GB2312" w:cs="仿宋_GB2312"/>
                <w:snapToGrid w:val="0"/>
                <w:color w:val="000000"/>
                <w:sz w:val="20"/>
                <w:szCs w:val="20"/>
              </w:rPr>
              <w:t>条“</w:t>
            </w:r>
            <w:r>
              <w:rPr>
                <w:rFonts w:hint="eastAsia" w:ascii="仿宋_GB2312" w:hAnsi="仿宋_GB2312" w:eastAsia="仿宋_GB2312" w:cs="仿宋_GB2312"/>
                <w:snapToGrid w:val="0"/>
                <w:color w:val="000000"/>
                <w:sz w:val="20"/>
                <w:szCs w:val="20"/>
              </w:rPr>
              <w:t>行政机关实施行政处罚，有下列情形之一，由上级行政机关或者有关机关责令改正，对直接负责的主管人员和其他直接责任人员依法给予处分：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（一）没有法定的行政处罚依据的；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（二）擅自改变行政处罚种类、幅度的；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（三）违反法定的行政处罚程序的；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（四）违反本法第二十条关于委托处罚的规定的；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（五）执法人员未取得执法证件的。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Times New Roman" w:hAnsi="Times New Roman" w:eastAsia="仿宋_GB2312" w:cs="仿宋_GB2312"/>
                <w:snapToGrid w:val="0"/>
                <w:color w:val="000000"/>
                <w:sz w:val="20"/>
                <w:szCs w:val="20"/>
                <w:lang w:eastAsia="zh-CN"/>
              </w:rPr>
            </w:pPr>
            <w:r>
              <w:rPr>
                <w:rFonts w:hint="eastAsia" w:ascii="仿宋_GB2312" w:hAnsi="仿宋_GB2312" w:eastAsia="仿宋_GB2312" w:cs="仿宋_GB2312"/>
                <w:snapToGrid w:val="0"/>
                <w:color w:val="000000"/>
                <w:sz w:val="20"/>
                <w:szCs w:val="20"/>
              </w:rPr>
              <w:t>行政机关对符合立案标准的案件不及时立案的，依照前款规定予以处理。</w:t>
            </w:r>
            <w:r>
              <w:rPr>
                <w:rFonts w:hint="eastAsia" w:ascii="仿宋_GB2312" w:hAnsi="仿宋_GB2312" w:eastAsia="仿宋_GB2312" w:cs="仿宋_GB2312"/>
                <w:snapToGrid w:val="0"/>
                <w:color w:val="000000"/>
                <w:sz w:val="20"/>
                <w:szCs w:val="20"/>
                <w:lang w:eastAsia="zh-CN"/>
              </w:rPr>
              <w:t>”</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2.【法律】《中华人民共和国行政处罚法》第</w:t>
            </w:r>
            <w:r>
              <w:rPr>
                <w:rFonts w:hint="eastAsia" w:ascii="Times New Roman" w:hAnsi="Times New Roman" w:eastAsia="仿宋_GB2312" w:cs="仿宋_GB2312"/>
                <w:snapToGrid w:val="0"/>
                <w:color w:val="000000"/>
                <w:sz w:val="20"/>
                <w:szCs w:val="20"/>
                <w:lang w:eastAsia="zh-CN"/>
              </w:rPr>
              <w:t>八</w:t>
            </w:r>
            <w:r>
              <w:rPr>
                <w:rFonts w:hint="eastAsia" w:ascii="Times New Roman" w:hAnsi="Times New Roman" w:eastAsia="仿宋_GB2312" w:cs="仿宋_GB2312"/>
                <w:snapToGrid w:val="0"/>
                <w:color w:val="000000"/>
                <w:sz w:val="20"/>
                <w:szCs w:val="20"/>
              </w:rPr>
              <w:t>十</w:t>
            </w:r>
            <w:r>
              <w:rPr>
                <w:rFonts w:hint="eastAsia" w:ascii="Times New Roman" w:hAnsi="Times New Roman" w:eastAsia="仿宋_GB2312" w:cs="仿宋_GB2312"/>
                <w:snapToGrid w:val="0"/>
                <w:color w:val="000000"/>
                <w:sz w:val="20"/>
                <w:szCs w:val="20"/>
                <w:lang w:eastAsia="zh-CN"/>
              </w:rPr>
              <w:t>三</w:t>
            </w:r>
            <w:r>
              <w:rPr>
                <w:rFonts w:hint="eastAsia" w:ascii="Times New Roman" w:hAnsi="Times New Roman" w:eastAsia="仿宋_GB2312" w:cs="仿宋_GB2312"/>
                <w:snapToGrid w:val="0"/>
                <w:color w:val="000000"/>
                <w:sz w:val="20"/>
                <w:szCs w:val="20"/>
              </w:rPr>
              <w:t>条“</w:t>
            </w:r>
            <w:r>
              <w:rPr>
                <w:rFonts w:hint="eastAsia" w:ascii="仿宋_GB2312" w:hAnsi="仿宋_GB2312" w:eastAsia="仿宋_GB2312" w:cs="仿宋_GB2312"/>
                <w:snapToGrid w:val="0"/>
                <w:color w:val="000000"/>
                <w:sz w:val="20"/>
                <w:szCs w:val="20"/>
              </w:rPr>
              <w:t>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Times New Roman" w:hAnsi="Times New Roman" w:eastAsia="仿宋_GB2312" w:cs="仿宋_GB2312"/>
                <w:snapToGrid w:val="0"/>
                <w:color w:val="000000"/>
                <w:sz w:val="20"/>
                <w:szCs w:val="20"/>
              </w:rPr>
              <w:t>”</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法律法规规定的免责情形以及市委、市政府有关文件中明确的免责情形。</w:t>
            </w:r>
          </w:p>
        </w:tc>
        <w:tc>
          <w:tcPr>
            <w:tcW w:w="4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r>
      <w:tr>
        <w:tblPrEx>
          <w:tblCellMar>
            <w:top w:w="28" w:type="dxa"/>
            <w:left w:w="28" w:type="dxa"/>
            <w:bottom w:w="28" w:type="dxa"/>
            <w:right w:w="28" w:type="dxa"/>
          </w:tblCellMar>
        </w:tblPrEx>
        <w:trPr>
          <w:cantSplit/>
          <w:trHeight w:val="12758" w:hRule="atLeast"/>
          <w:jc w:val="center"/>
        </w:trPr>
        <w:tc>
          <w:tcPr>
            <w:tcW w:w="2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124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2175" w:type="dxa"/>
            <w:tcBorders>
              <w:top w:val="single" w:color="auto" w:sz="4" w:space="0"/>
              <w:left w:val="nil"/>
              <w:bottom w:val="single" w:color="auto" w:sz="4" w:space="0"/>
              <w:right w:val="single" w:color="auto" w:sz="4" w:space="0"/>
            </w:tcBorders>
            <w:vAlign w:val="center"/>
          </w:tcPr>
          <w:p>
            <w:pPr>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p>
        </w:tc>
        <w:tc>
          <w:tcPr>
            <w:tcW w:w="445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p>
        </w:tc>
        <w:tc>
          <w:tcPr>
            <w:tcW w:w="5690" w:type="dxa"/>
            <w:tcBorders>
              <w:top w:val="single" w:color="auto" w:sz="4" w:space="0"/>
              <w:left w:val="nil"/>
              <w:bottom w:val="single" w:color="auto" w:sz="4" w:space="0"/>
              <w:right w:val="single" w:color="auto" w:sz="4" w:space="0"/>
            </w:tcBorders>
            <w:vAlign w:val="center"/>
          </w:tcPr>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六十四条：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5.【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对情节复杂或者重大违法行为给予行政处罚，行政机关负责人应当集体讨论决定。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6.【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当事人同意并签订确认书的，行政机关可以采用传真、电子邮件等方式，将行政处罚决定书等送达当事人。</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7.【法律】《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p>
          <w:p>
            <w:pPr>
              <w:spacing w:line="300" w:lineRule="exact"/>
              <w:ind w:firstLine="400" w:firstLineChars="200"/>
              <w:rPr>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8.【法律】《中华人民共和国行政处罚法》第七十五条：</w:t>
            </w:r>
            <w:r>
              <w:rPr>
                <w:rFonts w:ascii="仿宋_GB2312" w:hAnsi="仿宋_GB2312" w:eastAsia="仿宋_GB2312" w:cs="仿宋_GB2312"/>
                <w:color w:val="000000" w:themeColor="text1"/>
                <w:sz w:val="20"/>
                <w:szCs w:val="20"/>
                <w14:textFill>
                  <w14:solidFill>
                    <w14:schemeClr w14:val="tx1"/>
                  </w14:solidFill>
                </w14:textFill>
              </w:rPr>
              <w:t>行政机关应当建立健全对行政处罚的监督制度。县级以上人民政府应当定期组织开展行政执法评议、考核，加强对行政处罚的监督检查，规范和保障行政处罚的实施。</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ascii="仿宋_GB2312" w:hAnsi="仿宋_GB2312" w:eastAsia="仿宋_GB2312" w:cs="仿宋_GB2312"/>
                <w:color w:val="000000" w:themeColor="text1"/>
                <w:sz w:val="20"/>
                <w:szCs w:val="20"/>
                <w14:textFill>
                  <w14:solidFill>
                    <w14:schemeClr w14:val="tx1"/>
                  </w14:solidFill>
                </w14:textFill>
              </w:rPr>
              <w:t>行政机关实施行政处罚应当接受社会监督。公民、法人或者其他组织对行政机关实施行政处罚的行为，有权申诉或者检举；行政机</w:t>
            </w:r>
            <w:r>
              <w:rPr>
                <w:rFonts w:hint="eastAsia" w:ascii="仿宋_GB2312" w:hAnsi="仿宋_GB2312" w:eastAsia="仿宋_GB2312" w:cs="仿宋_GB2312"/>
                <w:snapToGrid w:val="0"/>
                <w:color w:val="000000" w:themeColor="text1"/>
                <w:sz w:val="20"/>
                <w:szCs w:val="20"/>
                <w14:textFill>
                  <w14:solidFill>
                    <w14:schemeClr w14:val="tx1"/>
                  </w14:solidFill>
                </w14:textFill>
              </w:rPr>
              <w:t>关应当认真审查，发现有错误的，应当主动改正。</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p>
          <w:p>
            <w:pPr>
              <w:widowControl/>
              <w:adjustRightInd w:val="0"/>
              <w:snapToGrid w:val="0"/>
              <w:spacing w:line="300" w:lineRule="exact"/>
              <w:ind w:firstLine="400" w:firstLineChars="200"/>
              <w:jc w:val="center"/>
              <w:rPr>
                <w:rFonts w:eastAsia="黑体" w:cs="黑体"/>
                <w:snapToGrid w:val="0"/>
                <w:color w:val="000000" w:themeColor="text1"/>
                <w:sz w:val="20"/>
                <w:szCs w:val="20"/>
                <w14:textFill>
                  <w14:solidFill>
                    <w14:schemeClr w14:val="tx1"/>
                  </w14:solidFill>
                </w14:textFill>
              </w:rPr>
            </w:pPr>
          </w:p>
        </w:tc>
        <w:tc>
          <w:tcPr>
            <w:tcW w:w="26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4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r>
      <w:tr>
        <w:tblPrEx>
          <w:tblCellMar>
            <w:top w:w="28" w:type="dxa"/>
            <w:left w:w="28" w:type="dxa"/>
            <w:bottom w:w="28" w:type="dxa"/>
            <w:right w:w="28" w:type="dxa"/>
          </w:tblCellMar>
        </w:tblPrEx>
        <w:trPr>
          <w:cantSplit/>
          <w:trHeight w:val="12758" w:hRule="atLeast"/>
          <w:jc w:val="center"/>
        </w:trPr>
        <w:tc>
          <w:tcPr>
            <w:tcW w:w="2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黑体" w:cs="黑体"/>
                <w:snapToGrid w:val="0"/>
                <w:color w:val="000000" w:themeColor="text1"/>
                <w:sz w:val="20"/>
                <w:szCs w:val="20"/>
                <w:lang w:val="en-US" w:eastAsia="zh-CN"/>
                <w14:textFill>
                  <w14:solidFill>
                    <w14:schemeClr w14:val="tx1"/>
                  </w14:solidFill>
                </w14:textFill>
              </w:rPr>
            </w:pPr>
            <w:r>
              <w:rPr>
                <w:rFonts w:hint="eastAsia" w:eastAsia="黑体" w:cs="黑体"/>
                <w:snapToGrid w:val="0"/>
                <w:color w:val="000000" w:themeColor="text1"/>
                <w:sz w:val="20"/>
                <w:szCs w:val="20"/>
                <w:lang w:val="en-US" w:eastAsia="zh-CN"/>
                <w14:textFill>
                  <w14:solidFill>
                    <w14:schemeClr w14:val="tx1"/>
                  </w14:solidFill>
                </w14:textFill>
              </w:rPr>
              <w:t>19</w:t>
            </w:r>
          </w:p>
        </w:tc>
        <w:tc>
          <w:tcPr>
            <w:tcW w:w="8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行政处罚</w:t>
            </w:r>
          </w:p>
        </w:tc>
        <w:tc>
          <w:tcPr>
            <w:tcW w:w="124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对用户改变用电类别未告知供电企业的处罚</w:t>
            </w:r>
          </w:p>
        </w:tc>
        <w:tc>
          <w:tcPr>
            <w:tcW w:w="87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lang w:eastAsia="zh-CN"/>
                <w14:textFill>
                  <w14:solidFill>
                    <w14:schemeClr w14:val="tx1"/>
                  </w14:solidFill>
                </w14:textFill>
              </w:rPr>
              <w:t>柳州市城中区工业和信息化局</w:t>
            </w:r>
          </w:p>
        </w:tc>
        <w:tc>
          <w:tcPr>
            <w:tcW w:w="2175" w:type="dxa"/>
            <w:tcBorders>
              <w:top w:val="single" w:color="auto" w:sz="4" w:space="0"/>
              <w:left w:val="nil"/>
              <w:bottom w:val="single" w:color="auto" w:sz="4" w:space="0"/>
              <w:right w:val="single" w:color="auto" w:sz="4" w:space="0"/>
            </w:tcBorders>
            <w:vAlign w:val="center"/>
          </w:tcPr>
          <w:p>
            <w:pPr>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地方政府规章】《广西壮族自治区供电用电办法》（2008年广西壮族自治区人民政府令第42号公布，2016年广西壮族自治区人民政府令第112号修改）第二十三条：违反本办法规定，用户改变用电类别未告知供电企业的，由县级以上人民政府电力管理部门责令改正，给予警告，并处5000元以上3万元以下罚款。</w:t>
            </w:r>
          </w:p>
        </w:tc>
        <w:tc>
          <w:tcPr>
            <w:tcW w:w="445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1.立案责任：发现根据举报控告的违法行为或者上报移送的违法案件，及时制止并予以审查，决定是否立案。</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2.调查责任：依法回避；两人以上出示执法证件；制作笔录、收集证据；允许辩解陈述；保守有关秘密。</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4.告知责任：作出行政处罚决定前，制作《行政处罚告知书》，告知违法事实及其享有的陈述、申辩等权利；满足听证条件的，制作《行政处罚听证告知书》告知当事人有要求举行听证的权利。</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5.决定责任：制作行政处罚决定书，载明违法事实和证据、处罚依据和内容、申请行政复议或提起行政诉讼的途径和期限等内容（逾期不履行处罚决定的后果）。</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6.送达责任：行政处罚决定书按法律规定的方式送达当事人。</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7.执行责任：监督当事人在决定期限内履行义务；书面催告当事人及时履行处罚决定；依法申请人民法院强制执行。</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8.监管责任：对行政处罚等情况的监督检查。</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9.其他法律法规规章文件规定应履行的责任。</w:t>
            </w:r>
          </w:p>
        </w:tc>
        <w:tc>
          <w:tcPr>
            <w:tcW w:w="5690" w:type="dxa"/>
            <w:tcBorders>
              <w:top w:val="single" w:color="auto" w:sz="4" w:space="0"/>
              <w:left w:val="nil"/>
              <w:bottom w:val="single" w:color="auto" w:sz="4" w:space="0"/>
              <w:right w:val="single" w:color="auto" w:sz="4" w:space="0"/>
            </w:tcBorders>
            <w:vAlign w:val="center"/>
          </w:tcPr>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1.【法律】《中华人民共和国行政处罚法》第十七条：行政处罚由具有行政处罚权的行政机关在法定职权范围内实施。</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第二十二条：行政处罚由违法行为发生地的行政机关管辖。法律、行政法规、部门规章另有规定的，从其规定。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当事人或者有关人员应当如实回答询问，并协助调查或者检查，不得拒绝或者阻挠。询问或者检查应当制作笔录。</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2.【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符合立案标准的，行政机关应当及时立案。</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3.【法律】《中华人民共和国行政处罚法》第五十七条：调查终结，行政机关负责人应当对调查结果进行审查，根据不同情况，分别作出如下决定：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（一）确有应受行政处罚的违法行为的，根据情节轻重及具体情况，作出行政处罚决定；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（二）违法行为轻微，依法可以不予行政处罚的，不予行政处罚；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（三）违法事实不能成立的，不予行政处罚；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（四）违法行为涉嫌犯罪的，移送司法机关。</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对情节复杂或者重大违法行为给予行政处罚，行政机关负责人应当集体讨论决定。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第五十八条：有下列情形之一，在行政机关负责人作出行政处罚的决定之前，应当由从事行政处罚决定法制审核的人员进行法制审核；未经法制审核或者审核未通过的，不得作出决定：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（一）涉及重大公共利益的；</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（二）直接关系当事人或者第三人重大权益，经过听证程序的；</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（三）案件情况疑难复杂、涉及多个法律关系的；</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（四）法律、法规规定应当进行法制审核的其他情形。</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行政机关中初次从事行政处罚决定法制审核的人员，应当通过国家统一法律职业资格考试取得法律职业资格。</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4.【法律】《中华人民共和国行政处罚法》第四十四条：行政机关在作出行政处罚决定之前，应当告知当事人拟作出的行政处罚内容及事实、理由、依据，并告知当事人依法享有的陈述、申辩、要求听证等权利。</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第六十三条：行政机关拟作出下列行政处罚决定，应当告知当事人有要求听证的权利，当事人要求听证的，行政机关应当组织听证：</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p>
        </w:tc>
        <w:tc>
          <w:tcPr>
            <w:tcW w:w="26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实施行政处罚，有下列情形之一的，应承担相应的责任：</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1.没有法律和事实依据实施行政处罚的；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2.执法人员玩忽职守，对应当予以制止和处罚的违法行为不予制止、处罚，致使公民、法人或社会合法权益、公共利益遭受损害的；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3.不具备行政执法资格实施行政处罚的；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4.擅自改变行政处罚种类、幅度的以及违反法定的行政处罚程序的；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5.违反“罚缴分离”规定，擅自收取罚款的以及截留、私分或者变相私分罚款的；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6.符合听证条件、行政管理相对人要求听证，应予组织听证而不组织听证的；</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7.其他违反法律法规规章文件规定的行为。</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1.【法律】《中华人民共和国行政处罚法》第</w:t>
            </w:r>
            <w:r>
              <w:rPr>
                <w:rFonts w:hint="eastAsia" w:ascii="Times New Roman" w:hAnsi="Times New Roman" w:eastAsia="仿宋_GB2312" w:cs="仿宋_GB2312"/>
                <w:snapToGrid w:val="0"/>
                <w:color w:val="000000"/>
                <w:sz w:val="20"/>
                <w:szCs w:val="20"/>
                <w:lang w:eastAsia="zh-CN"/>
              </w:rPr>
              <w:t>七</w:t>
            </w:r>
            <w:r>
              <w:rPr>
                <w:rFonts w:hint="eastAsia" w:ascii="Times New Roman" w:hAnsi="Times New Roman" w:eastAsia="仿宋_GB2312" w:cs="仿宋_GB2312"/>
                <w:snapToGrid w:val="0"/>
                <w:color w:val="000000"/>
                <w:sz w:val="20"/>
                <w:szCs w:val="20"/>
              </w:rPr>
              <w:t>十</w:t>
            </w:r>
            <w:r>
              <w:rPr>
                <w:rFonts w:hint="eastAsia" w:ascii="Times New Roman" w:hAnsi="Times New Roman" w:eastAsia="仿宋_GB2312" w:cs="仿宋_GB2312"/>
                <w:snapToGrid w:val="0"/>
                <w:color w:val="000000"/>
                <w:sz w:val="20"/>
                <w:szCs w:val="20"/>
                <w:lang w:eastAsia="zh-CN"/>
              </w:rPr>
              <w:t>六</w:t>
            </w:r>
            <w:r>
              <w:rPr>
                <w:rFonts w:hint="eastAsia" w:ascii="Times New Roman" w:hAnsi="Times New Roman" w:eastAsia="仿宋_GB2312" w:cs="仿宋_GB2312"/>
                <w:snapToGrid w:val="0"/>
                <w:color w:val="000000"/>
                <w:sz w:val="20"/>
                <w:szCs w:val="20"/>
              </w:rPr>
              <w:t>条“</w:t>
            </w:r>
            <w:r>
              <w:rPr>
                <w:rFonts w:hint="eastAsia" w:ascii="仿宋_GB2312" w:hAnsi="仿宋_GB2312" w:eastAsia="仿宋_GB2312" w:cs="仿宋_GB2312"/>
                <w:snapToGrid w:val="0"/>
                <w:color w:val="000000"/>
                <w:sz w:val="20"/>
                <w:szCs w:val="20"/>
              </w:rPr>
              <w:t>行政机关实施行政处罚，有下列情形之一，由上级行政机关或者有关机关责令改正，对直接负责的主管人员和其他直接责任人员依法给予处分：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（一）没有法定的行政处罚依据的；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（二）擅自改变行政处罚种类、幅度的；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（三）违反法定的行政处罚程序的；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（四）违反本法第二十条关于委托处罚的规定的；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（五）执法人员未取得执法证件的。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Times New Roman" w:hAnsi="Times New Roman" w:eastAsia="仿宋_GB2312" w:cs="仿宋_GB2312"/>
                <w:snapToGrid w:val="0"/>
                <w:color w:val="000000"/>
                <w:sz w:val="20"/>
                <w:szCs w:val="20"/>
                <w:lang w:eastAsia="zh-CN"/>
              </w:rPr>
            </w:pPr>
            <w:r>
              <w:rPr>
                <w:rFonts w:hint="eastAsia" w:ascii="仿宋_GB2312" w:hAnsi="仿宋_GB2312" w:eastAsia="仿宋_GB2312" w:cs="仿宋_GB2312"/>
                <w:snapToGrid w:val="0"/>
                <w:color w:val="000000"/>
                <w:sz w:val="20"/>
                <w:szCs w:val="20"/>
              </w:rPr>
              <w:t>行政机关对符合立案标准的案件不及时立案的，依照前款规定予以处理。</w:t>
            </w:r>
            <w:r>
              <w:rPr>
                <w:rFonts w:hint="eastAsia" w:ascii="仿宋_GB2312" w:hAnsi="仿宋_GB2312" w:eastAsia="仿宋_GB2312" w:cs="仿宋_GB2312"/>
                <w:snapToGrid w:val="0"/>
                <w:color w:val="000000"/>
                <w:sz w:val="20"/>
                <w:szCs w:val="20"/>
                <w:lang w:eastAsia="zh-CN"/>
              </w:rPr>
              <w:t>”</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2.【法律】《中华人民共和国行政处罚法》第</w:t>
            </w:r>
            <w:r>
              <w:rPr>
                <w:rFonts w:hint="eastAsia" w:ascii="Times New Roman" w:hAnsi="Times New Roman" w:eastAsia="仿宋_GB2312" w:cs="仿宋_GB2312"/>
                <w:snapToGrid w:val="0"/>
                <w:color w:val="000000"/>
                <w:sz w:val="20"/>
                <w:szCs w:val="20"/>
                <w:lang w:eastAsia="zh-CN"/>
              </w:rPr>
              <w:t>八</w:t>
            </w:r>
            <w:r>
              <w:rPr>
                <w:rFonts w:hint="eastAsia" w:ascii="Times New Roman" w:hAnsi="Times New Roman" w:eastAsia="仿宋_GB2312" w:cs="仿宋_GB2312"/>
                <w:snapToGrid w:val="0"/>
                <w:color w:val="000000"/>
                <w:sz w:val="20"/>
                <w:szCs w:val="20"/>
              </w:rPr>
              <w:t>十</w:t>
            </w:r>
            <w:r>
              <w:rPr>
                <w:rFonts w:hint="eastAsia" w:ascii="Times New Roman" w:hAnsi="Times New Roman" w:eastAsia="仿宋_GB2312" w:cs="仿宋_GB2312"/>
                <w:snapToGrid w:val="0"/>
                <w:color w:val="000000"/>
                <w:sz w:val="20"/>
                <w:szCs w:val="20"/>
                <w:lang w:eastAsia="zh-CN"/>
              </w:rPr>
              <w:t>三</w:t>
            </w:r>
            <w:r>
              <w:rPr>
                <w:rFonts w:hint="eastAsia" w:ascii="Times New Roman" w:hAnsi="Times New Roman" w:eastAsia="仿宋_GB2312" w:cs="仿宋_GB2312"/>
                <w:snapToGrid w:val="0"/>
                <w:color w:val="000000"/>
                <w:sz w:val="20"/>
                <w:szCs w:val="20"/>
              </w:rPr>
              <w:t>条“</w:t>
            </w:r>
            <w:r>
              <w:rPr>
                <w:rFonts w:hint="eastAsia" w:ascii="仿宋_GB2312" w:hAnsi="仿宋_GB2312" w:eastAsia="仿宋_GB2312" w:cs="仿宋_GB2312"/>
                <w:snapToGrid w:val="0"/>
                <w:color w:val="000000"/>
                <w:sz w:val="20"/>
                <w:szCs w:val="20"/>
              </w:rPr>
              <w:t>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Times New Roman" w:hAnsi="Times New Roman" w:eastAsia="仿宋_GB2312" w:cs="仿宋_GB2312"/>
                <w:snapToGrid w:val="0"/>
                <w:color w:val="000000"/>
                <w:sz w:val="20"/>
                <w:szCs w:val="20"/>
              </w:rPr>
              <w:t>”</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法律法规规定的免责情形以及市委、市政府有关文件中明确的免责情形。</w:t>
            </w:r>
          </w:p>
        </w:tc>
        <w:tc>
          <w:tcPr>
            <w:tcW w:w="4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r>
      <w:tr>
        <w:tblPrEx>
          <w:tblCellMar>
            <w:top w:w="28" w:type="dxa"/>
            <w:left w:w="28" w:type="dxa"/>
            <w:bottom w:w="28" w:type="dxa"/>
            <w:right w:w="28" w:type="dxa"/>
          </w:tblCellMar>
        </w:tblPrEx>
        <w:trPr>
          <w:cantSplit/>
          <w:trHeight w:val="12758" w:hRule="atLeast"/>
          <w:jc w:val="center"/>
        </w:trPr>
        <w:tc>
          <w:tcPr>
            <w:tcW w:w="2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124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2175" w:type="dxa"/>
            <w:tcBorders>
              <w:top w:val="single" w:color="auto" w:sz="4" w:space="0"/>
              <w:left w:val="nil"/>
              <w:bottom w:val="single" w:color="auto" w:sz="4" w:space="0"/>
              <w:right w:val="single" w:color="auto" w:sz="4" w:space="0"/>
            </w:tcBorders>
            <w:vAlign w:val="center"/>
          </w:tcPr>
          <w:p>
            <w:pPr>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p>
        </w:tc>
        <w:tc>
          <w:tcPr>
            <w:tcW w:w="445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p>
        </w:tc>
        <w:tc>
          <w:tcPr>
            <w:tcW w:w="5690" w:type="dxa"/>
            <w:tcBorders>
              <w:top w:val="single" w:color="auto" w:sz="4" w:space="0"/>
              <w:left w:val="nil"/>
              <w:bottom w:val="single" w:color="auto" w:sz="4" w:space="0"/>
              <w:right w:val="single" w:color="auto" w:sz="4" w:space="0"/>
            </w:tcBorders>
            <w:vAlign w:val="center"/>
          </w:tcPr>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一）较大数额罚款；（二）没收较大数额违法所得、没收较大价值非法财物；（三）降低资质等级、吊销许可证件；（四）责令停产停业、责令关闭、限制从业；（五）其他较重的行政处罚；（六）法律、法规、规章规定的其他情形。</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当事人不承担行政机关组织听证的费用。</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六十四条：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5.【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对情节复杂或者重大违法行为给予行政处罚，行政机关负责人应当集体讨论决定。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6.【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当事人同意并签订确认书的，行政机关可以采用传真、电子邮件等方式，将行政处罚决定书等送达当事人。</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7.【法律】《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p>
          <w:p>
            <w:pPr>
              <w:spacing w:line="300" w:lineRule="exact"/>
              <w:ind w:firstLine="400" w:firstLineChars="200"/>
              <w:rPr>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8.【法律】《中华人民共和国行政处罚法》第七十五条：</w:t>
            </w:r>
            <w:r>
              <w:rPr>
                <w:rFonts w:ascii="仿宋_GB2312" w:hAnsi="仿宋_GB2312" w:eastAsia="仿宋_GB2312" w:cs="仿宋_GB2312"/>
                <w:color w:val="000000" w:themeColor="text1"/>
                <w:sz w:val="20"/>
                <w:szCs w:val="20"/>
                <w14:textFill>
                  <w14:solidFill>
                    <w14:schemeClr w14:val="tx1"/>
                  </w14:solidFill>
                </w14:textFill>
              </w:rPr>
              <w:t>行政机关应当建立健全对行政处罚的监督制度。县级以上人民政府应当定期组织开展行政执法评议、考核，加强对行政处罚的监督检查，规范和保障行政处罚的实施。</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ascii="仿宋_GB2312" w:hAnsi="仿宋_GB2312" w:eastAsia="仿宋_GB2312" w:cs="仿宋_GB2312"/>
                <w:color w:val="000000" w:themeColor="text1"/>
                <w:sz w:val="20"/>
                <w:szCs w:val="20"/>
                <w14:textFill>
                  <w14:solidFill>
                    <w14:schemeClr w14:val="tx1"/>
                  </w14:solidFill>
                </w14:textFill>
              </w:rPr>
              <w:t>行政机关实施行政处罚应当接受社会监督。公民、法人或者其他组织对行政机关实施行政处罚的行为，有权申诉或者检举；行政机</w:t>
            </w:r>
            <w:r>
              <w:rPr>
                <w:rFonts w:hint="eastAsia" w:ascii="仿宋_GB2312" w:hAnsi="仿宋_GB2312" w:eastAsia="仿宋_GB2312" w:cs="仿宋_GB2312"/>
                <w:snapToGrid w:val="0"/>
                <w:color w:val="000000" w:themeColor="text1"/>
                <w:sz w:val="20"/>
                <w:szCs w:val="20"/>
                <w14:textFill>
                  <w14:solidFill>
                    <w14:schemeClr w14:val="tx1"/>
                  </w14:solidFill>
                </w14:textFill>
              </w:rPr>
              <w:t>关应当认真审查，发现有错误的，应当主动改正。</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p>
          <w:p>
            <w:pPr>
              <w:widowControl/>
              <w:adjustRightInd w:val="0"/>
              <w:snapToGrid w:val="0"/>
              <w:spacing w:line="300" w:lineRule="exact"/>
              <w:ind w:firstLine="400" w:firstLineChars="200"/>
              <w:jc w:val="center"/>
              <w:rPr>
                <w:rFonts w:eastAsia="黑体" w:cs="黑体"/>
                <w:snapToGrid w:val="0"/>
                <w:color w:val="000000" w:themeColor="text1"/>
                <w:sz w:val="20"/>
                <w:szCs w:val="20"/>
                <w14:textFill>
                  <w14:solidFill>
                    <w14:schemeClr w14:val="tx1"/>
                  </w14:solidFill>
                </w14:textFill>
              </w:rPr>
            </w:pPr>
          </w:p>
        </w:tc>
        <w:tc>
          <w:tcPr>
            <w:tcW w:w="26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4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r>
      <w:tr>
        <w:tblPrEx>
          <w:tblCellMar>
            <w:top w:w="28" w:type="dxa"/>
            <w:left w:w="28" w:type="dxa"/>
            <w:bottom w:w="28" w:type="dxa"/>
            <w:right w:w="28" w:type="dxa"/>
          </w:tblCellMar>
        </w:tblPrEx>
        <w:trPr>
          <w:cantSplit/>
          <w:trHeight w:val="12758" w:hRule="atLeast"/>
          <w:jc w:val="center"/>
        </w:trPr>
        <w:tc>
          <w:tcPr>
            <w:tcW w:w="2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黑体" w:cs="黑体"/>
                <w:snapToGrid w:val="0"/>
                <w:color w:val="000000" w:themeColor="text1"/>
                <w:sz w:val="20"/>
                <w:szCs w:val="20"/>
                <w:lang w:val="en-US" w:eastAsia="zh-CN"/>
                <w14:textFill>
                  <w14:solidFill>
                    <w14:schemeClr w14:val="tx1"/>
                  </w14:solidFill>
                </w14:textFill>
              </w:rPr>
            </w:pPr>
            <w:r>
              <w:rPr>
                <w:rFonts w:hint="eastAsia" w:eastAsia="黑体" w:cs="黑体"/>
                <w:snapToGrid w:val="0"/>
                <w:color w:val="000000" w:themeColor="text1"/>
                <w:sz w:val="20"/>
                <w:szCs w:val="20"/>
                <w14:textFill>
                  <w14:solidFill>
                    <w14:schemeClr w14:val="tx1"/>
                  </w14:solidFill>
                </w14:textFill>
              </w:rPr>
              <w:t>2</w:t>
            </w:r>
            <w:r>
              <w:rPr>
                <w:rFonts w:hint="eastAsia" w:eastAsia="黑体" w:cs="黑体"/>
                <w:snapToGrid w:val="0"/>
                <w:color w:val="000000" w:themeColor="text1"/>
                <w:sz w:val="20"/>
                <w:szCs w:val="20"/>
                <w:lang w:val="en-US" w:eastAsia="zh-CN"/>
                <w14:textFill>
                  <w14:solidFill>
                    <w14:schemeClr w14:val="tx1"/>
                  </w14:solidFill>
                </w14:textFill>
              </w:rPr>
              <w:t>0</w:t>
            </w:r>
          </w:p>
        </w:tc>
        <w:tc>
          <w:tcPr>
            <w:tcW w:w="8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行政处罚</w:t>
            </w:r>
          </w:p>
        </w:tc>
        <w:tc>
          <w:tcPr>
            <w:tcW w:w="124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对用户用电违法违规行为的处罚</w:t>
            </w:r>
          </w:p>
        </w:tc>
        <w:tc>
          <w:tcPr>
            <w:tcW w:w="87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lang w:eastAsia="zh-CN"/>
                <w14:textFill>
                  <w14:solidFill>
                    <w14:schemeClr w14:val="tx1"/>
                  </w14:solidFill>
                </w14:textFill>
              </w:rPr>
              <w:t>柳州市城中区工业和信息化局</w:t>
            </w:r>
          </w:p>
        </w:tc>
        <w:tc>
          <w:tcPr>
            <w:tcW w:w="217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【地方政府规章】《广西壮族自治区供电用电办法》（2008年广西壮族自治区人民政府令第42号公布，2016年广西壮族自治区人民政府令第112号修改）第十九条：用户应当遵守下列规定：</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（一）签订供用电合同；</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（二）按照合同规定的用电类别用电；</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（三）按时交纳电费；</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（四）使用合格的配用电设施并保证其运行安全；</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（五）使用经法定的计量检定机构认可的用电计量装置；</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（六）注入电网的谐波电流以及冲击负荷、非对称负荷等对电能质量的污染不得超过国家标准；</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（七）不得擅自拆封、更改、调整供电企业安装的用电计量装置；</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八）其他法律、法规、规章的有关规定。用户违反前款规定用电的，供电企业应当及时督促改正，可以根据违规事实和造成的后果追缴电费，并按照有关规定或者合同约定收取违约使用电费和其他费用；情节严重的，可以按照国家规定的程序停止供电。</w:t>
            </w:r>
          </w:p>
          <w:p>
            <w:pPr>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第二十六条：违反本办法第十九条第一款（三）、（四）、（五）、（六）项规定的，由县级以上人民政府电力管理部门责令改正，对居民用户可处1000元以下罚款；对单位用户可处3000元以上3万元以下的罚款。</w:t>
            </w:r>
          </w:p>
        </w:tc>
        <w:tc>
          <w:tcPr>
            <w:tcW w:w="445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1.立案责任：发现根据举报控告的违法行为或者上报移送的违法案件，及时制止并予以审查，决定是否立案。</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2.调查责任：依法回避；两人以上出示执法证件；制作笔录、收集证据；允许辩解陈述；保守有关秘密。</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4.告知责任：作出行政处罚决定前，制作《行政处罚告知书》，告知违法事实及其享有的陈述、申辩等权利；满足听证条件的，制作《行政处罚听证告知书》告知当事人有要求举行听证的权利。</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5.决定责任：制作行政处罚决定书，载明违法事实和证据、处罚依据和内容、申请行政复议或提起行政诉讼的途径和期限等内容（逾期不履行处罚决定的后果）。</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6.送达责任：行政处罚决定书按法律规定的方式送达当事人。</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7.执行责任：监督当事人在决定期限内履行义务；书面催告当事人及时履行处罚决定；依法申请人民法院强制执行。</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8.监管责任：对行政处罚等情况的监督检查。</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9.其他法律法规规章文件规定应履行的责任。</w:t>
            </w:r>
          </w:p>
        </w:tc>
        <w:tc>
          <w:tcPr>
            <w:tcW w:w="5690" w:type="dxa"/>
            <w:tcBorders>
              <w:top w:val="single" w:color="auto" w:sz="4" w:space="0"/>
              <w:left w:val="nil"/>
              <w:bottom w:val="single" w:color="auto" w:sz="4" w:space="0"/>
              <w:right w:val="single" w:color="auto" w:sz="4" w:space="0"/>
            </w:tcBorders>
            <w:vAlign w:val="center"/>
          </w:tcPr>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1.【法律】《中华人民共和国行政处罚法》第十七条：行政处罚由具有行政处罚权的行政机关在法定职权范围内实施。</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第二十二条：行政处罚由违法行为发生地的行政机关管辖。法律、行政法规、部门规章另有规定的，从其规定。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当事人或者有关人员应当如实回答询问，并协助调查或者检查，不得拒绝或者阻挠。询问或者检查应当制作笔录。</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2.【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符合立案标准的，行政机关应当及时立案。</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3.【法律】《中华人民共和国行政处罚法》第五十七条：调查终结，行政机关负责人应当对调查结果进行审查，根据不同情况，分别作出如下决定：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（一）确有应受行政处罚的违法行为的，根据情节轻重及具体情况，作出行政处罚决定；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（二）违法行为轻微，依法可以不予行政处罚的，不予行政处罚；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（三）违法事实不能成立的，不予行政处罚；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（四）违法行为涉嫌犯罪的，移送司法机关。</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对情节复杂或者重大违法行为给予行政处罚，行政机关负责人应当集体讨论决定。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第五十八条：有下列情形之一，在行政机关负责人作出行政处罚的决定之前，应当由从事行政处罚决定法制审核的人员进行法制审核；未经法制审核或者审核未通过的，不得作出决定：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（一）涉及重大公共利益的；</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（二）直接关系当事人或者第三人重大权益，经过听证程序的；</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（三）案件情况疑难复杂、涉及多个法律关系的；</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（四）法律、法规规定应当进行法制审核的其他情形。</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行政机关中初次从事行政处罚决定法制审核的人员，应当通过国家统一法律职业资格考试取得法律职业资格。</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4.【法律】《中华人民共和国行政处罚法》第四十四条：行政机关在作出行政处罚决定之前，应当告知当事人拟作出的行政处罚内容及事实、理由、依据，并告知当事人依法享有的陈述、申辩、要求听证等权利。</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第六十三条：行政机关拟作出下列行政处罚决定，应当告知当事人有要求听证的权利，当事人要求听证的，行政机关应当组织听证：</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一）较大数额罚款；（二）没收较大数额违法所得、没收较大价值非法财物；（三）降低资质等级、吊销许可证件；（四）责令停产停业、责令关闭、限制从业；（五）其他较重的行政处罚；（六）法律、法规、规章规定的其他情形。</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当事人不承担行政机关组织听证的费用。</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p>
        </w:tc>
        <w:tc>
          <w:tcPr>
            <w:tcW w:w="26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实施行政处罚，有下列情形之一的，应承担相应的责任：</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1.没有法律和事实依据实施行政处罚的；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2.执法人员玩忽职守，对应当予以制止和处罚的违法行为不予制止、处罚，致使公民、法人或社会合法权益、公共利益遭受损害的；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3.不具备行政执法资格实施行政处罚的；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4.擅自改变行政处罚种类、幅度的以及违反法定的行政处罚程序的；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5.违反“罚缴分离”规定，擅自收取罚款的以及截留、私分或者变相私分罚款的；</w:t>
            </w:r>
          </w:p>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6.符合听证条件、行政管理相对人要求听证，应予组织听证而不组织听证的；</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7.其他违反法律法规规章文件规定的行为。</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1.【法律】《中华人民共和国行政处罚法》第</w:t>
            </w:r>
            <w:r>
              <w:rPr>
                <w:rFonts w:hint="eastAsia" w:ascii="Times New Roman" w:hAnsi="Times New Roman" w:eastAsia="仿宋_GB2312" w:cs="仿宋_GB2312"/>
                <w:snapToGrid w:val="0"/>
                <w:color w:val="000000"/>
                <w:sz w:val="20"/>
                <w:szCs w:val="20"/>
                <w:lang w:eastAsia="zh-CN"/>
              </w:rPr>
              <w:t>七</w:t>
            </w:r>
            <w:r>
              <w:rPr>
                <w:rFonts w:hint="eastAsia" w:ascii="Times New Roman" w:hAnsi="Times New Roman" w:eastAsia="仿宋_GB2312" w:cs="仿宋_GB2312"/>
                <w:snapToGrid w:val="0"/>
                <w:color w:val="000000"/>
                <w:sz w:val="20"/>
                <w:szCs w:val="20"/>
              </w:rPr>
              <w:t>十</w:t>
            </w:r>
            <w:r>
              <w:rPr>
                <w:rFonts w:hint="eastAsia" w:ascii="Times New Roman" w:hAnsi="Times New Roman" w:eastAsia="仿宋_GB2312" w:cs="仿宋_GB2312"/>
                <w:snapToGrid w:val="0"/>
                <w:color w:val="000000"/>
                <w:sz w:val="20"/>
                <w:szCs w:val="20"/>
                <w:lang w:eastAsia="zh-CN"/>
              </w:rPr>
              <w:t>六</w:t>
            </w:r>
            <w:r>
              <w:rPr>
                <w:rFonts w:hint="eastAsia" w:ascii="Times New Roman" w:hAnsi="Times New Roman" w:eastAsia="仿宋_GB2312" w:cs="仿宋_GB2312"/>
                <w:snapToGrid w:val="0"/>
                <w:color w:val="000000"/>
                <w:sz w:val="20"/>
                <w:szCs w:val="20"/>
              </w:rPr>
              <w:t>条“</w:t>
            </w:r>
            <w:r>
              <w:rPr>
                <w:rFonts w:hint="eastAsia" w:ascii="仿宋_GB2312" w:hAnsi="仿宋_GB2312" w:eastAsia="仿宋_GB2312" w:cs="仿宋_GB2312"/>
                <w:snapToGrid w:val="0"/>
                <w:color w:val="000000"/>
                <w:sz w:val="20"/>
                <w:szCs w:val="20"/>
              </w:rPr>
              <w:t>行政机关实施行政处罚，有下列情形之一，由上级行政机关或者有关机关责令改正，对直接负责的主管人员和其他直接责任人员依法给予处分：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（一）没有法定的行政处罚依据的；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（二）擅自改变行政处罚种类、幅度的；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（三）违反法定的行政处罚程序的；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（四）违反本法第二十条关于委托处罚的规定的；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（五）执法人员未取得执法证件的。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Times New Roman" w:hAnsi="Times New Roman" w:eastAsia="仿宋_GB2312" w:cs="仿宋_GB2312"/>
                <w:snapToGrid w:val="0"/>
                <w:color w:val="000000"/>
                <w:sz w:val="20"/>
                <w:szCs w:val="20"/>
                <w:lang w:eastAsia="zh-CN"/>
              </w:rPr>
            </w:pPr>
            <w:r>
              <w:rPr>
                <w:rFonts w:hint="eastAsia" w:ascii="仿宋_GB2312" w:hAnsi="仿宋_GB2312" w:eastAsia="仿宋_GB2312" w:cs="仿宋_GB2312"/>
                <w:snapToGrid w:val="0"/>
                <w:color w:val="000000"/>
                <w:sz w:val="20"/>
                <w:szCs w:val="20"/>
              </w:rPr>
              <w:t>行政机关对符合立案标准的案件不及时立案的，依照前款规定予以处理。</w:t>
            </w:r>
            <w:r>
              <w:rPr>
                <w:rFonts w:hint="eastAsia" w:ascii="仿宋_GB2312" w:hAnsi="仿宋_GB2312" w:eastAsia="仿宋_GB2312" w:cs="仿宋_GB2312"/>
                <w:snapToGrid w:val="0"/>
                <w:color w:val="000000"/>
                <w:sz w:val="20"/>
                <w:szCs w:val="20"/>
                <w:lang w:eastAsia="zh-CN"/>
              </w:rPr>
              <w:t>”</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2.【法律】《中华人民共和国行政处罚法》第</w:t>
            </w:r>
            <w:r>
              <w:rPr>
                <w:rFonts w:hint="eastAsia" w:ascii="Times New Roman" w:hAnsi="Times New Roman" w:eastAsia="仿宋_GB2312" w:cs="仿宋_GB2312"/>
                <w:snapToGrid w:val="0"/>
                <w:color w:val="000000"/>
                <w:sz w:val="20"/>
                <w:szCs w:val="20"/>
                <w:lang w:eastAsia="zh-CN"/>
              </w:rPr>
              <w:t>八</w:t>
            </w:r>
            <w:r>
              <w:rPr>
                <w:rFonts w:hint="eastAsia" w:ascii="Times New Roman" w:hAnsi="Times New Roman" w:eastAsia="仿宋_GB2312" w:cs="仿宋_GB2312"/>
                <w:snapToGrid w:val="0"/>
                <w:color w:val="000000"/>
                <w:sz w:val="20"/>
                <w:szCs w:val="20"/>
              </w:rPr>
              <w:t>十</w:t>
            </w:r>
            <w:r>
              <w:rPr>
                <w:rFonts w:hint="eastAsia" w:ascii="Times New Roman" w:hAnsi="Times New Roman" w:eastAsia="仿宋_GB2312" w:cs="仿宋_GB2312"/>
                <w:snapToGrid w:val="0"/>
                <w:color w:val="000000"/>
                <w:sz w:val="20"/>
                <w:szCs w:val="20"/>
                <w:lang w:eastAsia="zh-CN"/>
              </w:rPr>
              <w:t>三</w:t>
            </w:r>
            <w:r>
              <w:rPr>
                <w:rFonts w:hint="eastAsia" w:ascii="Times New Roman" w:hAnsi="Times New Roman" w:eastAsia="仿宋_GB2312" w:cs="仿宋_GB2312"/>
                <w:snapToGrid w:val="0"/>
                <w:color w:val="000000"/>
                <w:sz w:val="20"/>
                <w:szCs w:val="20"/>
              </w:rPr>
              <w:t>条“</w:t>
            </w:r>
            <w:r>
              <w:rPr>
                <w:rFonts w:hint="eastAsia" w:ascii="仿宋_GB2312" w:hAnsi="仿宋_GB2312" w:eastAsia="仿宋_GB2312" w:cs="仿宋_GB2312"/>
                <w:snapToGrid w:val="0"/>
                <w:color w:val="000000"/>
                <w:sz w:val="20"/>
                <w:szCs w:val="20"/>
              </w:rPr>
              <w:t>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Times New Roman" w:hAnsi="Times New Roman" w:eastAsia="仿宋_GB2312" w:cs="仿宋_GB2312"/>
                <w:snapToGrid w:val="0"/>
                <w:color w:val="000000"/>
                <w:sz w:val="20"/>
                <w:szCs w:val="20"/>
              </w:rPr>
              <w:t>”</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法律法规规定的免责情形以及市委、市政府有关文件中明确的免责情形。</w:t>
            </w:r>
          </w:p>
        </w:tc>
        <w:tc>
          <w:tcPr>
            <w:tcW w:w="4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r>
      <w:tr>
        <w:tblPrEx>
          <w:tblCellMar>
            <w:top w:w="28" w:type="dxa"/>
            <w:left w:w="28" w:type="dxa"/>
            <w:bottom w:w="28" w:type="dxa"/>
            <w:right w:w="28" w:type="dxa"/>
          </w:tblCellMar>
        </w:tblPrEx>
        <w:trPr>
          <w:cantSplit/>
          <w:trHeight w:val="12758" w:hRule="atLeast"/>
          <w:jc w:val="center"/>
        </w:trPr>
        <w:tc>
          <w:tcPr>
            <w:tcW w:w="2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124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87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2175" w:type="dxa"/>
            <w:tcBorders>
              <w:top w:val="single" w:color="auto" w:sz="4" w:space="0"/>
              <w:left w:val="nil"/>
              <w:bottom w:val="single" w:color="auto" w:sz="4" w:space="0"/>
              <w:right w:val="single" w:color="auto" w:sz="4" w:space="0"/>
            </w:tcBorders>
            <w:vAlign w:val="center"/>
          </w:tcPr>
          <w:p>
            <w:pPr>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p>
        </w:tc>
        <w:tc>
          <w:tcPr>
            <w:tcW w:w="445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p>
        </w:tc>
        <w:tc>
          <w:tcPr>
            <w:tcW w:w="5690" w:type="dxa"/>
            <w:tcBorders>
              <w:top w:val="single" w:color="auto" w:sz="4" w:space="0"/>
              <w:left w:val="nil"/>
              <w:bottom w:val="single" w:color="auto" w:sz="4" w:space="0"/>
              <w:right w:val="single" w:color="auto" w:sz="4" w:space="0"/>
            </w:tcBorders>
            <w:vAlign w:val="center"/>
          </w:tcPr>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六十四条：听证应当依照以下程序组织：（一）当事人要求听证的，应当在行政机关告知后五日内提出；（二）行政机关应当在举行听证的七日前，通知当事人及有关人员听证的时间、地点；（三）除涉及国家秘密、商业秘密或者个人隐私依法予以保密外，听证公开举行；（四）听证由行政机关指定的非本案调查人员主持；当事人认为主持人与本案有直接利害关系的，有权申请回避；（五）当事人可以亲自参加听证，也可以委托一至二人代理；（六）当事人及其代理人无正当理由拒不出席听证或者未经许可中途退出听证的，视为放弃听证权利，行政机关终止听证；（七）举行听证时，调查人员提出当事人违法的事实、证据和行政处罚建议，当事人进行申辩和质证；（八）听证应当制作笔录。笔录应当交当事人或者其代理人核对无误后签字或者盖章。当事人或者其代理人拒绝签字或者盖章的，由听证主持人在笔录中注明。</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5.【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对情节复杂或者重大违法行为给予行政处罚，行政机关负责人应当集体讨论决定。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第四十五条：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6.【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当事人同意并签订确认书的，行政机关可以采用传真、电子邮件等方式，将行政处罚决定书等送达当事人。</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7.【法律】《中华人民共和国行政处罚法》第六十六条：行政处罚决定依法作出后，当事人应当在行政处罚决定书载明的期限内，予以履行。当事人确有经济困难，需要延期或者分期缴纳罚款的，经当事人申请和行政机关批准，可以暂缓或者分期缴纳。</w:t>
            </w:r>
          </w:p>
          <w:p>
            <w:pPr>
              <w:spacing w:line="300" w:lineRule="exact"/>
              <w:ind w:firstLine="400" w:firstLineChars="200"/>
              <w:rPr>
                <w:color w:val="000000" w:themeColor="text1"/>
                <w:sz w:val="20"/>
                <w:szCs w:val="20"/>
                <w14:textFill>
                  <w14:solidFill>
                    <w14:schemeClr w14:val="tx1"/>
                  </w14:solidFill>
                </w14:textFill>
              </w:rPr>
            </w:pPr>
            <w:r>
              <w:rPr>
                <w:rFonts w:hint="eastAsia" w:ascii="仿宋_GB2312" w:hAnsi="仿宋_GB2312" w:eastAsia="仿宋_GB2312" w:cs="仿宋_GB2312"/>
                <w:snapToGrid w:val="0"/>
                <w:color w:val="000000" w:themeColor="text1"/>
                <w:sz w:val="20"/>
                <w:szCs w:val="20"/>
                <w14:textFill>
                  <w14:solidFill>
                    <w14:schemeClr w14:val="tx1"/>
                  </w14:solidFill>
                </w14:textFill>
              </w:rPr>
              <w:t>8.【法律】《中华人民共和国行政处罚法》第七十五条：</w:t>
            </w:r>
            <w:r>
              <w:rPr>
                <w:rFonts w:ascii="仿宋_GB2312" w:hAnsi="仿宋_GB2312" w:eastAsia="仿宋_GB2312" w:cs="仿宋_GB2312"/>
                <w:color w:val="000000" w:themeColor="text1"/>
                <w:sz w:val="20"/>
                <w:szCs w:val="20"/>
                <w14:textFill>
                  <w14:solidFill>
                    <w14:schemeClr w14:val="tx1"/>
                  </w14:solidFill>
                </w14:textFill>
              </w:rPr>
              <w:t>行政机关应当建立健全对行政处罚的监督制度。县级以上人民政府应当定期组织开展行政执法评议、考核，加强对行政处罚的监督检查，规范和保障行政处罚的实施。</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r>
              <w:rPr>
                <w:rFonts w:ascii="仿宋_GB2312" w:hAnsi="仿宋_GB2312" w:eastAsia="仿宋_GB2312" w:cs="仿宋_GB2312"/>
                <w:color w:val="000000" w:themeColor="text1"/>
                <w:sz w:val="20"/>
                <w:szCs w:val="20"/>
                <w14:textFill>
                  <w14:solidFill>
                    <w14:schemeClr w14:val="tx1"/>
                  </w14:solidFill>
                </w14:textFill>
              </w:rPr>
              <w:t>行政机关实施行政处罚应当接受社会监督。公民、法人或者其他组织对行政机关实施行政处罚的行为，有权申诉或者检举；行政机</w:t>
            </w:r>
            <w:r>
              <w:rPr>
                <w:rFonts w:hint="eastAsia" w:ascii="仿宋_GB2312" w:hAnsi="仿宋_GB2312" w:eastAsia="仿宋_GB2312" w:cs="仿宋_GB2312"/>
                <w:snapToGrid w:val="0"/>
                <w:color w:val="000000" w:themeColor="text1"/>
                <w:sz w:val="20"/>
                <w:szCs w:val="20"/>
                <w14:textFill>
                  <w14:solidFill>
                    <w14:schemeClr w14:val="tx1"/>
                  </w14:solidFill>
                </w14:textFill>
              </w:rPr>
              <w:t>关应当认真审查，发现有错误的，应当主动改正。</w:t>
            </w:r>
          </w:p>
          <w:p>
            <w:pPr>
              <w:spacing w:line="300" w:lineRule="exact"/>
              <w:ind w:firstLine="400" w:firstLineChars="200"/>
              <w:rPr>
                <w:rFonts w:ascii="仿宋_GB2312" w:hAnsi="仿宋_GB2312" w:eastAsia="仿宋_GB2312" w:cs="仿宋_GB2312"/>
                <w:snapToGrid w:val="0"/>
                <w:color w:val="000000" w:themeColor="text1"/>
                <w:sz w:val="20"/>
                <w:szCs w:val="20"/>
                <w14:textFill>
                  <w14:solidFill>
                    <w14:schemeClr w14:val="tx1"/>
                  </w14:solidFill>
                </w14:textFill>
              </w:rPr>
            </w:pPr>
          </w:p>
          <w:p>
            <w:pPr>
              <w:widowControl/>
              <w:adjustRightInd w:val="0"/>
              <w:snapToGrid w:val="0"/>
              <w:spacing w:line="300" w:lineRule="exact"/>
              <w:ind w:firstLine="400" w:firstLineChars="200"/>
              <w:jc w:val="center"/>
              <w:rPr>
                <w:rFonts w:eastAsia="仿宋_GB2312" w:cs="仿宋_GB2312"/>
                <w:snapToGrid w:val="0"/>
                <w:color w:val="000000" w:themeColor="text1"/>
                <w:sz w:val="20"/>
                <w:szCs w:val="20"/>
                <w14:textFill>
                  <w14:solidFill>
                    <w14:schemeClr w14:val="tx1"/>
                  </w14:solidFill>
                </w14:textFill>
              </w:rPr>
            </w:pPr>
          </w:p>
        </w:tc>
        <w:tc>
          <w:tcPr>
            <w:tcW w:w="26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16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4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r>
      <w:tr>
        <w:tblPrEx>
          <w:tblCellMar>
            <w:top w:w="28" w:type="dxa"/>
            <w:left w:w="28" w:type="dxa"/>
            <w:bottom w:w="28" w:type="dxa"/>
            <w:right w:w="28" w:type="dxa"/>
          </w:tblCellMar>
        </w:tblPrEx>
        <w:trPr>
          <w:cantSplit/>
          <w:trHeight w:val="12758" w:hRule="atLeast"/>
          <w:jc w:val="center"/>
        </w:trPr>
        <w:tc>
          <w:tcPr>
            <w:tcW w:w="2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黑体" w:cs="黑体"/>
                <w:snapToGrid w:val="0"/>
                <w:color w:val="000000" w:themeColor="text1"/>
                <w:sz w:val="20"/>
                <w:szCs w:val="20"/>
                <w:lang w:val="en-US" w:eastAsia="zh-CN"/>
                <w14:textFill>
                  <w14:solidFill>
                    <w14:schemeClr w14:val="tx1"/>
                  </w14:solidFill>
                </w14:textFill>
              </w:rPr>
            </w:pPr>
            <w:r>
              <w:rPr>
                <w:rFonts w:hint="eastAsia" w:eastAsia="黑体" w:cs="黑体"/>
                <w:snapToGrid w:val="0"/>
                <w:color w:val="000000" w:themeColor="text1"/>
                <w:sz w:val="20"/>
                <w:szCs w:val="20"/>
                <w:lang w:val="en-US" w:eastAsia="zh-CN"/>
                <w14:textFill>
                  <w14:solidFill>
                    <w14:schemeClr w14:val="tx1"/>
                  </w14:solidFill>
                </w14:textFill>
              </w:rPr>
              <w:t>21</w:t>
            </w:r>
          </w:p>
        </w:tc>
        <w:tc>
          <w:tcPr>
            <w:tcW w:w="8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其他行政权力</w:t>
            </w:r>
          </w:p>
        </w:tc>
        <w:tc>
          <w:tcPr>
            <w:tcW w:w="124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民用爆炸物品安全生产许可证新增或延续及安全生产的品种和能力、生产地址变更初审转报</w:t>
            </w:r>
          </w:p>
        </w:tc>
        <w:tc>
          <w:tcPr>
            <w:tcW w:w="87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lang w:eastAsia="zh-CN"/>
                <w14:textFill>
                  <w14:solidFill>
                    <w14:schemeClr w14:val="tx1"/>
                  </w14:solidFill>
                </w14:textFill>
              </w:rPr>
              <w:t>柳州市城中区工业和信息化局</w:t>
            </w:r>
          </w:p>
        </w:tc>
        <w:tc>
          <w:tcPr>
            <w:tcW w:w="217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1.【行政法规】《民用爆炸物品安全管理条例》（2006年国务院令第466号发布，2014年国务院令第653号修改）第三条：国家对民用爆炸物品的生产、销售、购买、运输和爆破作业实行许可证制度。</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第十三条：取得《民用爆炸物品生产许可证》的企业应当在基本建设完成后，向省、自治区、直辖市人民政府民用爆炸物品行业主管部门申请安全生产许可。省、自治区、直辖市人民政府民用爆炸物品行业主管部门主管部门应当依照《安全生产许可证条例》的规定对其进行查验，对符合条件的，核发《民用爆炸物品安全生产许可证》。民用爆炸物品生产企业取得《民用爆炸物品安全生产许可证》后，方可生产民用爆炸物品。</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2.【部门规章】《民用爆炸物品安全生产许可实施办法》（2015年工业和信息化部令第30号）第三条：省、自治区、直辖市人民政府民用爆炸物品行业主管部门（以下简称省级民爆行业主管部门）负责民用爆炸物品生产企业安全生产许可的审批和监督管理。</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为方便申请人，省级民爆行业主管部门可委托设区的市或者县级人民政府民用爆炸物品行业主管部门（以下简称初审机关）承担本行政区内民用爆炸物品生产企业安全生产许可申请的受理、初审工作。</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第十一条：省级民爆行业主管部门自收到申请之日起45日内审查完毕。由初审机关初审的，初审机关应当自受理申请之日起20日内完成对申请材料的审查及必要的安全生产条件核查，并将下列材料报送省级民爆行业主管部门：</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（一）《民用爆炸物品安全生产许可证申请审批表》；</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（二）企业提交的全部申请材料；</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（三）对申请企业安全生产条件的初审意见。</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第十二条：《民用爆炸物品安全生产许可证》有效期为3年。有效期届满需要继续从事民用爆炸物品生产活动的，应当在有效期届满前3个月向省级民爆行业主管部门或者初审机关申请延续。经省级民爆行业主管部门审查，符合民用爆炸物品安全生产许可条件的，应当在有效期届满前准予延续，并向社会公布；不符合民用爆炸物品安全生产许可条件的，不予延续，书面通知申请人并说明理由。</w:t>
            </w:r>
          </w:p>
          <w:p>
            <w:pPr>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第十三条第二款：安全生产的品种和能力、生产地址发生变更的，企业应当依照本办法重新申请办理《民用爆炸物品安全生产许可证》。重新核发的《民用爆炸物品安全生产许可证》有效期不变。</w:t>
            </w:r>
          </w:p>
        </w:tc>
        <w:tc>
          <w:tcPr>
            <w:tcW w:w="445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1.受理责任：公示应当提交的材料，当场一次性告知补正材料，依法受理或不予受理（不予受理应当告知理由）。</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2.审查责任：审查申请材料。</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3.决定责任：作出初审意见决定，法定告知（不予同意的应当书面告知理由）。</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4.送达责任：准予同意的，将初审意见和申请人全部材料报送上级行政机关；不予同意的，送达不予同意决定书。</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5.监管责任：建立实施监督检查的运行机制和管理制度，开展定期和不定期检查，依法采取相关处置措施。</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6.其他法律法规规章文件规定应履行的责任。</w:t>
            </w:r>
          </w:p>
        </w:tc>
        <w:tc>
          <w:tcPr>
            <w:tcW w:w="569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3.【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4.【法律】《中华人民共和国行政许可法》第三十四条：依法应当先经下级行政机关审查后报上级机关决定的行政许可，下级机关应当在法定期限内将初步审查意见和全部申请材料直接报送上级行政机关。上级行政机关不得要求申请人重复提供申请材料。</w:t>
            </w:r>
          </w:p>
          <w:p>
            <w:pPr>
              <w:widowControl/>
              <w:adjustRightInd w:val="0"/>
              <w:snapToGrid w:val="0"/>
              <w:spacing w:line="300" w:lineRule="exact"/>
              <w:ind w:firstLine="400" w:firstLineChars="200"/>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5.【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26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因不履行或不正确履行行政职责，有下列情形的行政机关及相关工作人员应承担相应的责任：1.对符合法定条件的申请不予受理、审查的；2.对不符合有关法律法规的，予以审查审核同意的；3.未严格审查申报材料，造成纠纷或财产损失的；4.监管不力或怠于履行职责的；5.擅自增设、变更审查程序或核准条件的；6.在审查监管中滥用职权、玩忽职守、徇私舞弊，造成较大影响的；7.其他违反法律法规规定的行为。</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1.【法律】《中华人民共和国行政处罚法》第</w:t>
            </w:r>
            <w:r>
              <w:rPr>
                <w:rFonts w:hint="eastAsia" w:ascii="Times New Roman" w:hAnsi="Times New Roman" w:eastAsia="仿宋_GB2312" w:cs="仿宋_GB2312"/>
                <w:snapToGrid w:val="0"/>
                <w:color w:val="000000"/>
                <w:sz w:val="20"/>
                <w:szCs w:val="20"/>
                <w:lang w:eastAsia="zh-CN"/>
              </w:rPr>
              <w:t>七</w:t>
            </w:r>
            <w:r>
              <w:rPr>
                <w:rFonts w:hint="eastAsia" w:ascii="Times New Roman" w:hAnsi="Times New Roman" w:eastAsia="仿宋_GB2312" w:cs="仿宋_GB2312"/>
                <w:snapToGrid w:val="0"/>
                <w:color w:val="000000"/>
                <w:sz w:val="20"/>
                <w:szCs w:val="20"/>
              </w:rPr>
              <w:t>十</w:t>
            </w:r>
            <w:r>
              <w:rPr>
                <w:rFonts w:hint="eastAsia" w:ascii="Times New Roman" w:hAnsi="Times New Roman" w:eastAsia="仿宋_GB2312" w:cs="仿宋_GB2312"/>
                <w:snapToGrid w:val="0"/>
                <w:color w:val="000000"/>
                <w:sz w:val="20"/>
                <w:szCs w:val="20"/>
                <w:lang w:eastAsia="zh-CN"/>
              </w:rPr>
              <w:t>六</w:t>
            </w:r>
            <w:r>
              <w:rPr>
                <w:rFonts w:hint="eastAsia" w:ascii="Times New Roman" w:hAnsi="Times New Roman" w:eastAsia="仿宋_GB2312" w:cs="仿宋_GB2312"/>
                <w:snapToGrid w:val="0"/>
                <w:color w:val="000000"/>
                <w:sz w:val="20"/>
                <w:szCs w:val="20"/>
              </w:rPr>
              <w:t>条“</w:t>
            </w:r>
            <w:r>
              <w:rPr>
                <w:rFonts w:hint="eastAsia" w:ascii="仿宋_GB2312" w:hAnsi="仿宋_GB2312" w:eastAsia="仿宋_GB2312" w:cs="仿宋_GB2312"/>
                <w:snapToGrid w:val="0"/>
                <w:color w:val="000000"/>
                <w:sz w:val="20"/>
                <w:szCs w:val="20"/>
              </w:rPr>
              <w:t>行政机关实施行政处罚，有下列情形之一，由上级行政机关或者有关机关责令改正，对直接负责的主管人员和其他直接责任人员依法给予处分：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（一）没有法定的行政处罚依据的；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（二）擅自改变行政处罚种类、幅度的；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（三）违反法定的行政处罚程序的；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（四）违反本法第二十条关于委托处罚的规定的；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（五）执法人员未取得执法证件的。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Times New Roman" w:hAnsi="Times New Roman" w:eastAsia="仿宋_GB2312" w:cs="仿宋_GB2312"/>
                <w:snapToGrid w:val="0"/>
                <w:color w:val="000000"/>
                <w:sz w:val="20"/>
                <w:szCs w:val="20"/>
                <w:lang w:eastAsia="zh-CN"/>
              </w:rPr>
            </w:pPr>
            <w:r>
              <w:rPr>
                <w:rFonts w:hint="eastAsia" w:ascii="仿宋_GB2312" w:hAnsi="仿宋_GB2312" w:eastAsia="仿宋_GB2312" w:cs="仿宋_GB2312"/>
                <w:snapToGrid w:val="0"/>
                <w:color w:val="000000"/>
                <w:sz w:val="20"/>
                <w:szCs w:val="20"/>
              </w:rPr>
              <w:t>行政机关对符合立案标准的案件不及时立案的，依照前款规定予以处理。</w:t>
            </w:r>
            <w:r>
              <w:rPr>
                <w:rFonts w:hint="eastAsia" w:ascii="仿宋_GB2312" w:hAnsi="仿宋_GB2312" w:eastAsia="仿宋_GB2312" w:cs="仿宋_GB2312"/>
                <w:snapToGrid w:val="0"/>
                <w:color w:val="000000"/>
                <w:sz w:val="20"/>
                <w:szCs w:val="20"/>
                <w:lang w:eastAsia="zh-CN"/>
              </w:rPr>
              <w:t>”</w:t>
            </w:r>
          </w:p>
          <w:p>
            <w:pPr>
              <w:widowControl/>
              <w:adjustRightInd w:val="0"/>
              <w:snapToGrid w:val="0"/>
              <w:spacing w:line="300" w:lineRule="exact"/>
              <w:ind w:firstLine="400" w:firstLineChars="200"/>
              <w:rPr>
                <w:rFonts w:ascii="Times New Roman" w:hAnsi="Times New Roman" w:eastAsia="仿宋_GB2312" w:cs="仿宋_GB2312"/>
                <w:snapToGrid w:val="0"/>
                <w:color w:val="000000" w:themeColor="text1"/>
                <w:kern w:val="2"/>
                <w:sz w:val="20"/>
                <w:szCs w:val="20"/>
                <w:lang w:val="en-US" w:eastAsia="zh-CN" w:bidi="ar-SA"/>
                <w14:textFill>
                  <w14:solidFill>
                    <w14:schemeClr w14:val="tx1"/>
                  </w14:solidFill>
                </w14:textFill>
              </w:rPr>
            </w:pPr>
            <w:r>
              <w:rPr>
                <w:rFonts w:hint="eastAsia" w:ascii="Times New Roman" w:hAnsi="Times New Roman" w:eastAsia="仿宋_GB2312" w:cs="仿宋_GB2312"/>
                <w:snapToGrid w:val="0"/>
                <w:color w:val="000000"/>
                <w:sz w:val="20"/>
                <w:szCs w:val="20"/>
              </w:rPr>
              <w:t>2.【法律】《中华人民共和国行政处罚法》第</w:t>
            </w:r>
            <w:r>
              <w:rPr>
                <w:rFonts w:hint="eastAsia" w:ascii="Times New Roman" w:hAnsi="Times New Roman" w:eastAsia="仿宋_GB2312" w:cs="仿宋_GB2312"/>
                <w:snapToGrid w:val="0"/>
                <w:color w:val="000000"/>
                <w:sz w:val="20"/>
                <w:szCs w:val="20"/>
                <w:lang w:eastAsia="zh-CN"/>
              </w:rPr>
              <w:t>八</w:t>
            </w:r>
            <w:r>
              <w:rPr>
                <w:rFonts w:hint="eastAsia" w:ascii="Times New Roman" w:hAnsi="Times New Roman" w:eastAsia="仿宋_GB2312" w:cs="仿宋_GB2312"/>
                <w:snapToGrid w:val="0"/>
                <w:color w:val="000000"/>
                <w:sz w:val="20"/>
                <w:szCs w:val="20"/>
              </w:rPr>
              <w:t>十</w:t>
            </w:r>
            <w:r>
              <w:rPr>
                <w:rFonts w:hint="eastAsia" w:ascii="Times New Roman" w:hAnsi="Times New Roman" w:eastAsia="仿宋_GB2312" w:cs="仿宋_GB2312"/>
                <w:snapToGrid w:val="0"/>
                <w:color w:val="000000"/>
                <w:sz w:val="20"/>
                <w:szCs w:val="20"/>
                <w:lang w:eastAsia="zh-CN"/>
              </w:rPr>
              <w:t>三</w:t>
            </w:r>
            <w:r>
              <w:rPr>
                <w:rFonts w:hint="eastAsia" w:ascii="Times New Roman" w:hAnsi="Times New Roman" w:eastAsia="仿宋_GB2312" w:cs="仿宋_GB2312"/>
                <w:snapToGrid w:val="0"/>
                <w:color w:val="000000"/>
                <w:sz w:val="20"/>
                <w:szCs w:val="20"/>
              </w:rPr>
              <w:t>条“</w:t>
            </w:r>
            <w:r>
              <w:rPr>
                <w:rFonts w:hint="eastAsia" w:ascii="仿宋_GB2312" w:hAnsi="仿宋_GB2312" w:eastAsia="仿宋_GB2312" w:cs="仿宋_GB2312"/>
                <w:snapToGrid w:val="0"/>
                <w:color w:val="000000"/>
                <w:sz w:val="20"/>
                <w:szCs w:val="20"/>
              </w:rPr>
              <w:t>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Times New Roman" w:hAnsi="Times New Roman" w:eastAsia="仿宋_GB2312" w:cs="仿宋_GB2312"/>
                <w:snapToGrid w:val="0"/>
                <w:color w:val="000000"/>
                <w:sz w:val="20"/>
                <w:szCs w:val="20"/>
              </w:rPr>
              <w:t>”</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rPr>
                <w:rFonts w:ascii="Times New Roman" w:hAnsi="Times New Roman" w:eastAsia="仿宋_GB2312" w:cs="仿宋_GB2312"/>
                <w:snapToGrid w:val="0"/>
                <w:color w:val="000000" w:themeColor="text1"/>
                <w:kern w:val="2"/>
                <w:sz w:val="20"/>
                <w:szCs w:val="20"/>
                <w:lang w:val="en-US" w:eastAsia="zh-CN" w:bidi="ar-SA"/>
                <w14:textFill>
                  <w14:solidFill>
                    <w14:schemeClr w14:val="tx1"/>
                  </w14:solidFill>
                </w14:textFill>
              </w:rPr>
            </w:pPr>
            <w:r>
              <w:rPr>
                <w:rFonts w:hint="eastAsia" w:ascii="Times New Roman" w:hAnsi="Times New Roman" w:eastAsia="仿宋_GB2312" w:cs="仿宋_GB2312"/>
                <w:snapToGrid w:val="0"/>
                <w:color w:val="000000"/>
                <w:sz w:val="20"/>
                <w:szCs w:val="20"/>
              </w:rPr>
              <w:t>法律法规规定的免责情形以及市委、市政府有关文件中明确的免责情形。</w:t>
            </w:r>
          </w:p>
        </w:tc>
        <w:tc>
          <w:tcPr>
            <w:tcW w:w="4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ascii="Times New Roman" w:hAnsi="Times New Roman" w:eastAsia="仿宋_GB2312" w:cs="仿宋_GB2312"/>
                <w:snapToGrid w:val="0"/>
                <w:color w:val="000000" w:themeColor="text1"/>
                <w:kern w:val="2"/>
                <w:sz w:val="20"/>
                <w:szCs w:val="20"/>
                <w:lang w:val="en-US" w:eastAsia="zh-CN" w:bidi="ar-SA"/>
                <w14:textFill>
                  <w14:solidFill>
                    <w14:schemeClr w14:val="tx1"/>
                  </w14:solidFill>
                </w14:textFill>
              </w:rPr>
            </w:pPr>
          </w:p>
        </w:tc>
      </w:tr>
      <w:tr>
        <w:tblPrEx>
          <w:tblCellMar>
            <w:top w:w="28" w:type="dxa"/>
            <w:left w:w="28" w:type="dxa"/>
            <w:bottom w:w="28" w:type="dxa"/>
            <w:right w:w="28" w:type="dxa"/>
          </w:tblCellMar>
        </w:tblPrEx>
        <w:trPr>
          <w:cantSplit/>
          <w:trHeight w:val="10206" w:hRule="atLeast"/>
          <w:jc w:val="center"/>
        </w:trPr>
        <w:tc>
          <w:tcPr>
            <w:tcW w:w="2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黑体" w:cs="黑体"/>
                <w:snapToGrid w:val="0"/>
                <w:color w:val="000000" w:themeColor="text1"/>
                <w:sz w:val="20"/>
                <w:szCs w:val="20"/>
                <w:lang w:val="en-US" w:eastAsia="zh-CN"/>
                <w14:textFill>
                  <w14:solidFill>
                    <w14:schemeClr w14:val="tx1"/>
                  </w14:solidFill>
                </w14:textFill>
              </w:rPr>
            </w:pPr>
            <w:r>
              <w:rPr>
                <w:rFonts w:hint="eastAsia" w:eastAsia="黑体" w:cs="黑体"/>
                <w:snapToGrid w:val="0"/>
                <w:color w:val="000000" w:themeColor="text1"/>
                <w:sz w:val="20"/>
                <w:szCs w:val="20"/>
                <w14:textFill>
                  <w14:solidFill>
                    <w14:schemeClr w14:val="tx1"/>
                  </w14:solidFill>
                </w14:textFill>
              </w:rPr>
              <w:t>2</w:t>
            </w:r>
            <w:r>
              <w:rPr>
                <w:rFonts w:hint="eastAsia" w:eastAsia="黑体" w:cs="黑体"/>
                <w:snapToGrid w:val="0"/>
                <w:color w:val="000000" w:themeColor="text1"/>
                <w:sz w:val="20"/>
                <w:szCs w:val="20"/>
                <w:lang w:val="en-US" w:eastAsia="zh-CN"/>
                <w14:textFill>
                  <w14:solidFill>
                    <w14:schemeClr w14:val="tx1"/>
                  </w14:solidFill>
                </w14:textFill>
              </w:rPr>
              <w:t>2</w:t>
            </w:r>
          </w:p>
        </w:tc>
        <w:tc>
          <w:tcPr>
            <w:tcW w:w="8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其他行政权力</w:t>
            </w:r>
          </w:p>
        </w:tc>
        <w:tc>
          <w:tcPr>
            <w:tcW w:w="124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民用爆炸物品安全生产许可证企业名称、注册地址、法定代表人、登记类型的变更初审转报</w:t>
            </w:r>
          </w:p>
        </w:tc>
        <w:tc>
          <w:tcPr>
            <w:tcW w:w="87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88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rPr>
                <w:rFonts w:hint="eastAsia" w:eastAsia="仿宋_GB2312" w:cs="仿宋_GB2312"/>
                <w:snapToGrid w:val="0"/>
                <w:color w:val="000000" w:themeColor="text1"/>
                <w:sz w:val="20"/>
                <w:szCs w:val="20"/>
                <w:lang w:eastAsia="zh-CN"/>
                <w14:textFill>
                  <w14:solidFill>
                    <w14:schemeClr w14:val="tx1"/>
                  </w14:solidFill>
                </w14:textFill>
              </w:rPr>
            </w:pPr>
            <w:r>
              <w:rPr>
                <w:rFonts w:hint="eastAsia" w:eastAsia="仿宋_GB2312" w:cs="仿宋_GB2312"/>
                <w:snapToGrid w:val="0"/>
                <w:color w:val="000000" w:themeColor="text1"/>
                <w:sz w:val="20"/>
                <w:szCs w:val="20"/>
                <w:lang w:eastAsia="zh-CN"/>
                <w14:textFill>
                  <w14:solidFill>
                    <w14:schemeClr w14:val="tx1"/>
                  </w14:solidFill>
                </w14:textFill>
              </w:rPr>
              <w:t>柳州市城中区工业和信息化局</w:t>
            </w:r>
          </w:p>
        </w:tc>
        <w:tc>
          <w:tcPr>
            <w:tcW w:w="217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1.【行政法规】《民用爆炸物品安全管理条例》（2006年国务院令第466号发布，2014年国务院令第653号修改）第三条：国家对民用爆炸物品的生产、销售、购买、运输和爆破作业实行许可证制度。</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第十三条：取得《民用爆炸物品生产许可证》的企业应当在基本建设完成后，向省、自治区、直辖市人民政府民用爆炸物品行业主管部门申请安全生产许可。省、自治区、直辖市人民政府民用爆炸物品行业主管部门主管部门应当依照《安全生产许可证条例》的规定对其进行查验，对符合条件的，核发《民用爆炸物品安全生产许可证》。民用爆炸物品生产企业取得《民用爆炸物品安全生产许可证》后，方可生产民用爆炸物品。</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2.【部门规章】《民用爆炸物品安全生产许可实施办法》（2015年工业和信息化部令第30号）第三条：省、自治区、直辖市人民政府民用爆炸物品行业主管部门（以下简称省级民爆行业主管部门）负责民用爆炸物品生产企业安全生产许可的审批和监督管理。</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为方便申请人，省级民爆行业主管部门可委托设区的市或者县级人民政府民用爆炸物品行业主管部门（以下简称初审机关）承担本行政区内民用爆炸物品生产企业安全生产许可申请的受理、初审工作。</w:t>
            </w:r>
          </w:p>
          <w:p>
            <w:pPr>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第十三条：《民用爆炸物品安全生产许可证》有效期内，企业名称、注册地址、法定代表人、登记类型发生变更的，企业应当自《民用爆炸物品生产许可证》变更之日起20日内向省级民爆行业主管部门提出《民用爆炸物品安全生产许可证》变更申请，省级民爆行业主管部门应当在10日内完成变更手续，并将结果告知初审机关。</w:t>
            </w:r>
          </w:p>
        </w:tc>
        <w:tc>
          <w:tcPr>
            <w:tcW w:w="445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1.受理责任：公示应当提交的材料，当场一次性告知补正材料，依法受理或不予受理（不予受理应当告知理由）。</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2.审查责任：审查申请材料。</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3.决定责任：作出初审意见决定，法定告知（不予同意的应当书面告知理由）。</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4.送达责任：准予同意的，将初审意见和申请人全部材料报送上级行政机关；不予同意的，送达不予同意决定书。</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5.监管责任：建立实施监督检查的运行机制和管理制度，开展定期和不定期检查，依法采取相关处置措施。</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6.其他法律法规规章文件规定应履行的责任。</w:t>
            </w:r>
          </w:p>
        </w:tc>
        <w:tc>
          <w:tcPr>
            <w:tcW w:w="569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3.【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4.【法律】《中华人民共和国行政许可法》第三十四条：依法应当先经下级行政机关审查后报上级机关决定的行政许可，下级机关应当在法定期限内将初步审查意见和全部申请材料直接报送上级行政机关。上级行政机关不得要求申请人重复提供申请材料。</w:t>
            </w:r>
          </w:p>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r>
              <w:rPr>
                <w:rFonts w:hint="eastAsia" w:eastAsia="仿宋_GB2312" w:cs="仿宋_GB2312"/>
                <w:snapToGrid w:val="0"/>
                <w:color w:val="000000" w:themeColor="text1"/>
                <w:sz w:val="20"/>
                <w:szCs w:val="20"/>
                <w14:textFill>
                  <w14:solidFill>
                    <w14:schemeClr w14:val="tx1"/>
                  </w14:solidFill>
                </w14:textFill>
              </w:rPr>
              <w:t>5.【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26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因不履行或不正确履行行政职责，有下列情形的行政机关及相关工作人员应承担相应的责任：1.对符合法定条件的申请不予受理、审查的；2.对不符合有关法律法规的，予以审查审核同意的；3.未严格审查申报材料，造成纠纷或财产损失的；4.监管不力或怠于履行职责的；5.擅自增设、变更审查程序或核准条件的；6.在审查监管中滥用职权、玩忽职守、徇私舞弊，造成较大影响的；7.其他违反法律法规规定的行为。</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Times New Roman" w:hAnsi="Times New Roman" w:eastAsia="仿宋_GB2312" w:cs="仿宋_GB2312"/>
                <w:snapToGrid w:val="0"/>
                <w:color w:val="000000"/>
                <w:sz w:val="20"/>
                <w:szCs w:val="20"/>
              </w:rPr>
              <w:t>1.【法律】《中华人民共和国行政处罚法》第</w:t>
            </w:r>
            <w:r>
              <w:rPr>
                <w:rFonts w:hint="eastAsia" w:ascii="Times New Roman" w:hAnsi="Times New Roman" w:eastAsia="仿宋_GB2312" w:cs="仿宋_GB2312"/>
                <w:snapToGrid w:val="0"/>
                <w:color w:val="000000"/>
                <w:sz w:val="20"/>
                <w:szCs w:val="20"/>
                <w:lang w:eastAsia="zh-CN"/>
              </w:rPr>
              <w:t>七</w:t>
            </w:r>
            <w:r>
              <w:rPr>
                <w:rFonts w:hint="eastAsia" w:ascii="Times New Roman" w:hAnsi="Times New Roman" w:eastAsia="仿宋_GB2312" w:cs="仿宋_GB2312"/>
                <w:snapToGrid w:val="0"/>
                <w:color w:val="000000"/>
                <w:sz w:val="20"/>
                <w:szCs w:val="20"/>
              </w:rPr>
              <w:t>十</w:t>
            </w:r>
            <w:r>
              <w:rPr>
                <w:rFonts w:hint="eastAsia" w:ascii="Times New Roman" w:hAnsi="Times New Roman" w:eastAsia="仿宋_GB2312" w:cs="仿宋_GB2312"/>
                <w:snapToGrid w:val="0"/>
                <w:color w:val="000000"/>
                <w:sz w:val="20"/>
                <w:szCs w:val="20"/>
                <w:lang w:eastAsia="zh-CN"/>
              </w:rPr>
              <w:t>六</w:t>
            </w:r>
            <w:r>
              <w:rPr>
                <w:rFonts w:hint="eastAsia" w:ascii="Times New Roman" w:hAnsi="Times New Roman" w:eastAsia="仿宋_GB2312" w:cs="仿宋_GB2312"/>
                <w:snapToGrid w:val="0"/>
                <w:color w:val="000000"/>
                <w:sz w:val="20"/>
                <w:szCs w:val="20"/>
              </w:rPr>
              <w:t>条“</w:t>
            </w:r>
            <w:r>
              <w:rPr>
                <w:rFonts w:hint="eastAsia" w:ascii="仿宋_GB2312" w:hAnsi="仿宋_GB2312" w:eastAsia="仿宋_GB2312" w:cs="仿宋_GB2312"/>
                <w:snapToGrid w:val="0"/>
                <w:color w:val="000000"/>
                <w:sz w:val="20"/>
                <w:szCs w:val="20"/>
              </w:rPr>
              <w:t>行政机关实施行政处罚，有下列情形之一，由上级行政机关或者有关机关责令改正，对直接负责的主管人员和其他直接责任人员依法给予处分：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（一）没有法定的行政处罚依据的；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（二）擅自改变行政处罚种类、幅度的；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（三）违反法定的行政处罚程序的；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（四）违反本法第二十条关于委托处罚的规定的；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（五）执法人员未取得执法证件的。</w:t>
            </w:r>
          </w:p>
          <w:p>
            <w:pPr>
              <w:keepNext w:val="0"/>
              <w:keepLines w:val="0"/>
              <w:pageBreakBefore w:val="0"/>
              <w:widowControl w:val="0"/>
              <w:kinsoku/>
              <w:wordWrap/>
              <w:overflowPunct/>
              <w:topLinePunct w:val="0"/>
              <w:autoSpaceDE/>
              <w:autoSpaceDN/>
              <w:bidi w:val="0"/>
              <w:adjustRightInd/>
              <w:snapToGrid/>
              <w:spacing w:line="200" w:lineRule="exact"/>
              <w:ind w:firstLine="640"/>
              <w:jc w:val="both"/>
              <w:textAlignment w:val="auto"/>
              <w:rPr>
                <w:rFonts w:hint="eastAsia" w:ascii="Times New Roman" w:hAnsi="Times New Roman" w:eastAsia="仿宋_GB2312" w:cs="仿宋_GB2312"/>
                <w:snapToGrid w:val="0"/>
                <w:color w:val="000000"/>
                <w:sz w:val="20"/>
                <w:szCs w:val="20"/>
                <w:lang w:eastAsia="zh-CN"/>
              </w:rPr>
            </w:pPr>
            <w:r>
              <w:rPr>
                <w:rFonts w:hint="eastAsia" w:ascii="仿宋_GB2312" w:hAnsi="仿宋_GB2312" w:eastAsia="仿宋_GB2312" w:cs="仿宋_GB2312"/>
                <w:snapToGrid w:val="0"/>
                <w:color w:val="000000"/>
                <w:sz w:val="20"/>
                <w:szCs w:val="20"/>
              </w:rPr>
              <w:t>行政机关对符合立案标准的案件不及时立案的，依照前款规定予以处理。</w:t>
            </w:r>
            <w:r>
              <w:rPr>
                <w:rFonts w:hint="eastAsia" w:ascii="仿宋_GB2312" w:hAnsi="仿宋_GB2312" w:eastAsia="仿宋_GB2312" w:cs="仿宋_GB2312"/>
                <w:snapToGrid w:val="0"/>
                <w:color w:val="000000"/>
                <w:sz w:val="20"/>
                <w:szCs w:val="20"/>
                <w:lang w:eastAsia="zh-CN"/>
              </w:rPr>
              <w:t>”</w:t>
            </w:r>
          </w:p>
          <w:p>
            <w:pPr>
              <w:widowControl/>
              <w:adjustRightInd w:val="0"/>
              <w:snapToGrid w:val="0"/>
              <w:spacing w:line="300" w:lineRule="exact"/>
              <w:ind w:firstLine="400" w:firstLineChars="200"/>
              <w:rPr>
                <w:rFonts w:ascii="Times New Roman" w:hAnsi="Times New Roman" w:eastAsia="仿宋_GB2312" w:cs="仿宋_GB2312"/>
                <w:snapToGrid w:val="0"/>
                <w:color w:val="000000" w:themeColor="text1"/>
                <w:kern w:val="2"/>
                <w:sz w:val="20"/>
                <w:szCs w:val="20"/>
                <w:lang w:val="en-US" w:eastAsia="zh-CN" w:bidi="ar-SA"/>
                <w14:textFill>
                  <w14:solidFill>
                    <w14:schemeClr w14:val="tx1"/>
                  </w14:solidFill>
                </w14:textFill>
              </w:rPr>
            </w:pPr>
            <w:r>
              <w:rPr>
                <w:rFonts w:hint="eastAsia" w:ascii="Times New Roman" w:hAnsi="Times New Roman" w:eastAsia="仿宋_GB2312" w:cs="仿宋_GB2312"/>
                <w:snapToGrid w:val="0"/>
                <w:color w:val="000000"/>
                <w:sz w:val="20"/>
                <w:szCs w:val="20"/>
              </w:rPr>
              <w:t>2.【法律】《中华人民共和国行政处罚法》第</w:t>
            </w:r>
            <w:r>
              <w:rPr>
                <w:rFonts w:hint="eastAsia" w:ascii="Times New Roman" w:hAnsi="Times New Roman" w:eastAsia="仿宋_GB2312" w:cs="仿宋_GB2312"/>
                <w:snapToGrid w:val="0"/>
                <w:color w:val="000000"/>
                <w:sz w:val="20"/>
                <w:szCs w:val="20"/>
                <w:lang w:eastAsia="zh-CN"/>
              </w:rPr>
              <w:t>八</w:t>
            </w:r>
            <w:r>
              <w:rPr>
                <w:rFonts w:hint="eastAsia" w:ascii="Times New Roman" w:hAnsi="Times New Roman" w:eastAsia="仿宋_GB2312" w:cs="仿宋_GB2312"/>
                <w:snapToGrid w:val="0"/>
                <w:color w:val="000000"/>
                <w:sz w:val="20"/>
                <w:szCs w:val="20"/>
              </w:rPr>
              <w:t>十</w:t>
            </w:r>
            <w:r>
              <w:rPr>
                <w:rFonts w:hint="eastAsia" w:ascii="Times New Roman" w:hAnsi="Times New Roman" w:eastAsia="仿宋_GB2312" w:cs="仿宋_GB2312"/>
                <w:snapToGrid w:val="0"/>
                <w:color w:val="000000"/>
                <w:sz w:val="20"/>
                <w:szCs w:val="20"/>
                <w:lang w:eastAsia="zh-CN"/>
              </w:rPr>
              <w:t>三</w:t>
            </w:r>
            <w:r>
              <w:rPr>
                <w:rFonts w:hint="eastAsia" w:ascii="Times New Roman" w:hAnsi="Times New Roman" w:eastAsia="仿宋_GB2312" w:cs="仿宋_GB2312"/>
                <w:snapToGrid w:val="0"/>
                <w:color w:val="000000"/>
                <w:sz w:val="20"/>
                <w:szCs w:val="20"/>
              </w:rPr>
              <w:t>条“</w:t>
            </w:r>
            <w:r>
              <w:rPr>
                <w:rFonts w:hint="eastAsia" w:ascii="仿宋_GB2312" w:hAnsi="仿宋_GB2312" w:eastAsia="仿宋_GB2312" w:cs="仿宋_GB2312"/>
                <w:snapToGrid w:val="0"/>
                <w:color w:val="000000"/>
                <w:sz w:val="20"/>
                <w:szCs w:val="20"/>
              </w:rPr>
              <w:t>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Times New Roman" w:hAnsi="Times New Roman" w:eastAsia="仿宋_GB2312" w:cs="仿宋_GB2312"/>
                <w:snapToGrid w:val="0"/>
                <w:color w:val="000000"/>
                <w:sz w:val="20"/>
                <w:szCs w:val="20"/>
              </w:rPr>
              <w:t>”</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rPr>
                <w:rFonts w:eastAsia="仿宋_GB2312" w:cs="仿宋_GB2312"/>
                <w:snapToGrid w:val="0"/>
                <w:color w:val="000000" w:themeColor="text1"/>
                <w:sz w:val="20"/>
                <w:szCs w:val="20"/>
                <w14:textFill>
                  <w14:solidFill>
                    <w14:schemeClr w14:val="tx1"/>
                  </w14:solidFill>
                </w14:textFill>
              </w:rPr>
            </w:pPr>
            <w:r>
              <w:rPr>
                <w:rFonts w:hint="eastAsia" w:ascii="Times New Roman" w:hAnsi="Times New Roman" w:eastAsia="仿宋_GB2312" w:cs="仿宋_GB2312"/>
                <w:snapToGrid w:val="0"/>
                <w:color w:val="000000"/>
                <w:sz w:val="20"/>
                <w:szCs w:val="20"/>
              </w:rPr>
              <w:t>法律法规规定的免责情形以及市委、市政府有关文件中明确的免责情形。</w:t>
            </w:r>
          </w:p>
        </w:tc>
        <w:tc>
          <w:tcPr>
            <w:tcW w:w="4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r>
      <w:tr>
        <w:tblPrEx>
          <w:tblCellMar>
            <w:top w:w="28" w:type="dxa"/>
            <w:left w:w="28" w:type="dxa"/>
            <w:bottom w:w="28" w:type="dxa"/>
            <w:right w:w="28" w:type="dxa"/>
          </w:tblCellMar>
        </w:tblPrEx>
        <w:trPr>
          <w:cantSplit/>
          <w:trHeight w:val="10206" w:hRule="atLeast"/>
          <w:jc w:val="center"/>
        </w:trPr>
        <w:tc>
          <w:tcPr>
            <w:tcW w:w="0" w:type="auto"/>
          </w:tcPr>
          <w:p>
            <w:pPr>
              <w:widowControl/>
              <w:adjustRightInd w:val="0"/>
              <w:snapToGrid w:val="0"/>
              <w:spacing w:line="300" w:lineRule="exact"/>
              <w:jc w:val="center"/>
              <w:rPr>
                <w:rFonts w:hint="eastAsia" w:eastAsia="黑体" w:cs="黑体"/>
                <w:snapToGrid w:val="0"/>
                <w:color w:val="000000" w:themeColor="text1"/>
                <w:sz w:val="20"/>
                <w:szCs w:val="20"/>
                <w:lang w:val="en-US" w:eastAsia="zh-CN"/>
                <w14:textFill>
                  <w14:solidFill>
                    <w14:schemeClr w14:val="tx1"/>
                  </w14:solidFill>
                </w14:textFill>
              </w:rPr>
            </w:pPr>
          </w:p>
        </w:tc>
        <w:tc>
          <w:tcPr>
            <w:tcW w:w="0" w:type="auto"/>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0" w:type="auto"/>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c>
          <w:tcPr>
            <w:tcW w:w="0" w:type="auto"/>
          </w:tcPr>
          <w:p>
            <w:pPr>
              <w:widowControl/>
              <w:adjustRightInd w:val="0"/>
              <w:snapToGrid w:val="0"/>
              <w:spacing w:line="300" w:lineRule="exact"/>
              <w:jc w:val="center"/>
              <w:rPr>
                <w:rFonts w:eastAsia="黑体" w:cs="黑体"/>
                <w:snapToGrid w:val="0"/>
                <w:color w:val="000000" w:themeColor="text1"/>
                <w:sz w:val="20"/>
                <w:szCs w:val="20"/>
                <w14:textFill>
                  <w14:solidFill>
                    <w14:schemeClr w14:val="tx1"/>
                  </w14:solidFill>
                </w14:textFill>
              </w:rPr>
            </w:pPr>
          </w:p>
        </w:tc>
        <w:tc>
          <w:tcPr>
            <w:tcW w:w="0" w:type="auto"/>
          </w:tcPr>
          <w:p>
            <w:pPr>
              <w:widowControl/>
              <w:adjustRightInd w:val="0"/>
              <w:snapToGrid w:val="0"/>
              <w:spacing w:line="300" w:lineRule="exact"/>
              <w:rPr>
                <w:rFonts w:hint="eastAsia" w:eastAsia="仿宋_GB2312" w:cs="仿宋_GB2312"/>
                <w:snapToGrid w:val="0"/>
                <w:color w:val="000000" w:themeColor="text1"/>
                <w:sz w:val="20"/>
                <w:szCs w:val="20"/>
                <w:lang w:eastAsia="zh-CN"/>
                <w14:textFill>
                  <w14:solidFill>
                    <w14:schemeClr w14:val="tx1"/>
                  </w14:solidFill>
                </w14:textFill>
              </w:rPr>
            </w:pPr>
          </w:p>
        </w:tc>
        <w:tc>
          <w:tcPr>
            <w:tcW w:w="0" w:type="auto"/>
          </w:tcPr>
          <w:p>
            <w:pPr>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p>
        </w:tc>
        <w:tc>
          <w:tcPr>
            <w:tcW w:w="0" w:type="auto"/>
          </w:tcPr>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p>
        </w:tc>
        <w:tc>
          <w:tcPr>
            <w:tcW w:w="0" w:type="auto"/>
          </w:tcPr>
          <w:p>
            <w:pPr>
              <w:widowControl/>
              <w:adjustRightInd w:val="0"/>
              <w:snapToGrid w:val="0"/>
              <w:spacing w:line="300" w:lineRule="exact"/>
              <w:ind w:firstLine="400" w:firstLineChars="200"/>
              <w:jc w:val="left"/>
              <w:rPr>
                <w:rFonts w:eastAsia="仿宋_GB2312" w:cs="仿宋_GB2312"/>
                <w:snapToGrid w:val="0"/>
                <w:color w:val="000000" w:themeColor="text1"/>
                <w:sz w:val="20"/>
                <w:szCs w:val="20"/>
                <w14:textFill>
                  <w14:solidFill>
                    <w14:schemeClr w14:val="tx1"/>
                  </w14:solidFill>
                </w14:textFill>
              </w:rPr>
            </w:pPr>
          </w:p>
        </w:tc>
        <w:tc>
          <w:tcPr>
            <w:tcW w:w="0" w:type="auto"/>
          </w:tcPr>
          <w:p>
            <w:pPr>
              <w:widowControl/>
              <w:adjustRightInd w:val="0"/>
              <w:snapToGrid w:val="0"/>
              <w:spacing w:line="300" w:lineRule="exact"/>
              <w:ind w:firstLine="400" w:firstLineChars="200"/>
              <w:rPr>
                <w:rFonts w:eastAsia="仿宋_GB2312" w:cs="仿宋_GB2312"/>
                <w:snapToGrid w:val="0"/>
                <w:color w:val="000000" w:themeColor="text1"/>
                <w:sz w:val="20"/>
                <w:szCs w:val="20"/>
                <w14:textFill>
                  <w14:solidFill>
                    <w14:schemeClr w14:val="tx1"/>
                  </w14:solidFill>
                </w14:textFill>
              </w:rPr>
            </w:pPr>
          </w:p>
        </w:tc>
        <w:tc>
          <w:tcPr>
            <w:tcW w:w="0" w:type="auto"/>
            <w:vAlign w:val="center"/>
          </w:tcPr>
          <w:p>
            <w:pPr>
              <w:widowControl/>
              <w:adjustRightInd w:val="0"/>
              <w:snapToGrid w:val="0"/>
              <w:spacing w:line="300" w:lineRule="exact"/>
              <w:jc w:val="center"/>
              <w:rPr>
                <w:rFonts w:ascii="Times New Roman" w:hAnsi="Times New Roman" w:eastAsia="仿宋_GB2312" w:cs="仿宋_GB2312"/>
                <w:snapToGrid w:val="0"/>
                <w:color w:val="000000" w:themeColor="text1"/>
                <w:kern w:val="2"/>
                <w:sz w:val="20"/>
                <w:szCs w:val="20"/>
                <w:lang w:val="en-US" w:eastAsia="zh-CN" w:bidi="ar-SA"/>
                <w14:textFill>
                  <w14:solidFill>
                    <w14:schemeClr w14:val="tx1"/>
                  </w14:solidFill>
                </w14:textFill>
              </w:rPr>
            </w:pPr>
          </w:p>
        </w:tc>
        <w:tc>
          <w:tcPr>
            <w:tcW w:w="0" w:type="auto"/>
          </w:tcPr>
          <w:p>
            <w:pPr>
              <w:widowControl/>
              <w:adjustRightInd w:val="0"/>
              <w:snapToGrid w:val="0"/>
              <w:spacing w:line="300" w:lineRule="exact"/>
              <w:rPr>
                <w:rFonts w:eastAsia="仿宋_GB2312" w:cs="仿宋_GB2312"/>
                <w:snapToGrid w:val="0"/>
                <w:color w:val="000000" w:themeColor="text1"/>
                <w:sz w:val="20"/>
                <w:szCs w:val="20"/>
                <w14:textFill>
                  <w14:solidFill>
                    <w14:schemeClr w14:val="tx1"/>
                  </w14:solidFill>
                </w14:textFill>
              </w:rPr>
            </w:pPr>
          </w:p>
        </w:tc>
        <w:tc>
          <w:tcPr>
            <w:tcW w:w="0" w:type="auto"/>
          </w:tcPr>
          <w:p>
            <w:pPr>
              <w:widowControl/>
              <w:adjustRightInd w:val="0"/>
              <w:snapToGrid w:val="0"/>
              <w:spacing w:line="300" w:lineRule="exact"/>
              <w:jc w:val="center"/>
              <w:rPr>
                <w:rFonts w:eastAsia="仿宋_GB2312" w:cs="仿宋_GB2312"/>
                <w:snapToGrid w:val="0"/>
                <w:color w:val="000000" w:themeColor="text1"/>
                <w:sz w:val="20"/>
                <w:szCs w:val="20"/>
                <w14:textFill>
                  <w14:solidFill>
                    <w14:schemeClr w14:val="tx1"/>
                  </w14:solidFill>
                </w14:textFill>
              </w:rPr>
            </w:pPr>
          </w:p>
        </w:tc>
      </w:tr>
    </w:tbl>
    <w:p>
      <w:pPr>
        <w:rPr>
          <w:color w:val="000000" w:themeColor="text1"/>
          <w14:textFill>
            <w14:solidFill>
              <w14:schemeClr w14:val="tx1"/>
            </w14:solidFill>
          </w14:textFill>
        </w:rPr>
      </w:pPr>
    </w:p>
    <w:sectPr>
      <w:footerReference r:id="rId3" w:type="default"/>
      <w:pgSz w:w="23814" w:h="16839" w:orient="landscape"/>
      <w:pgMar w:top="1418" w:right="1361" w:bottom="1418" w:left="1361" w:header="851" w:footer="1077" w:gutter="0"/>
      <w:pgNumType w:start="4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877034"/>
      <w:docPartObj>
        <w:docPartGallery w:val="autotext"/>
      </w:docPartObj>
    </w:sdtPr>
    <w:sdtEndPr>
      <w:rPr>
        <w:sz w:val="32"/>
        <w:szCs w:val="32"/>
      </w:rPr>
    </w:sdtEndPr>
    <w:sdtContent>
      <w:p>
        <w:pPr>
          <w:pStyle w:val="2"/>
          <w:jc w:val="center"/>
          <w:rPr>
            <w:sz w:val="32"/>
            <w:szCs w:val="32"/>
          </w:rPr>
        </w:pPr>
        <w:r>
          <w:rPr>
            <w:rStyle w:val="7"/>
            <w:rFonts w:ascii="宋体" w:hAnsi="宋体"/>
            <w:sz w:val="32"/>
            <w:szCs w:val="32"/>
          </w:rPr>
          <w:t>—</w:t>
        </w:r>
        <w:r>
          <w:rPr>
            <w:rStyle w:val="7"/>
            <w:rFonts w:hint="eastAsia" w:ascii="宋体" w:hAnsi="宋体"/>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lang w:val="zh-CN"/>
          </w:rPr>
          <w:t>87</w:t>
        </w:r>
        <w:r>
          <w:rPr>
            <w:sz w:val="32"/>
            <w:szCs w:val="32"/>
          </w:rPr>
          <w:fldChar w:fldCharType="end"/>
        </w:r>
        <w:r>
          <w:rPr>
            <w:rFonts w:hint="eastAsia"/>
            <w:sz w:val="32"/>
            <w:szCs w:val="32"/>
          </w:rPr>
          <w:t xml:space="preserve"> </w:t>
        </w:r>
        <w:r>
          <w:rPr>
            <w:rStyle w:val="7"/>
            <w:rFonts w:ascii="宋体" w:hAnsi="宋体"/>
            <w:sz w:val="32"/>
            <w:szCs w:val="32"/>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969"/>
    <w:rsid w:val="001215EB"/>
    <w:rsid w:val="001317AC"/>
    <w:rsid w:val="00144969"/>
    <w:rsid w:val="00162CA1"/>
    <w:rsid w:val="00246B66"/>
    <w:rsid w:val="00265B82"/>
    <w:rsid w:val="002F1861"/>
    <w:rsid w:val="003A29C8"/>
    <w:rsid w:val="003D3090"/>
    <w:rsid w:val="00432105"/>
    <w:rsid w:val="00446583"/>
    <w:rsid w:val="00564D92"/>
    <w:rsid w:val="005761A8"/>
    <w:rsid w:val="00684DFD"/>
    <w:rsid w:val="00730905"/>
    <w:rsid w:val="008A16E0"/>
    <w:rsid w:val="008A7646"/>
    <w:rsid w:val="009032D4"/>
    <w:rsid w:val="00A3140B"/>
    <w:rsid w:val="00A734AA"/>
    <w:rsid w:val="00A97AA1"/>
    <w:rsid w:val="00C07EEC"/>
    <w:rsid w:val="00CD03F7"/>
    <w:rsid w:val="00E00697"/>
    <w:rsid w:val="00EA30BE"/>
    <w:rsid w:val="00F14B1D"/>
    <w:rsid w:val="00F17F1C"/>
    <w:rsid w:val="00F74AAB"/>
    <w:rsid w:val="01492A08"/>
    <w:rsid w:val="01844970"/>
    <w:rsid w:val="01AD54C7"/>
    <w:rsid w:val="01B006A4"/>
    <w:rsid w:val="01B85725"/>
    <w:rsid w:val="01FC2151"/>
    <w:rsid w:val="020C221F"/>
    <w:rsid w:val="026F4DDB"/>
    <w:rsid w:val="028029D1"/>
    <w:rsid w:val="029005E4"/>
    <w:rsid w:val="02B04606"/>
    <w:rsid w:val="0322153F"/>
    <w:rsid w:val="03430747"/>
    <w:rsid w:val="03600C1B"/>
    <w:rsid w:val="039C662D"/>
    <w:rsid w:val="03A37A25"/>
    <w:rsid w:val="03FE323D"/>
    <w:rsid w:val="04355984"/>
    <w:rsid w:val="04460AEB"/>
    <w:rsid w:val="04B85145"/>
    <w:rsid w:val="04D313DE"/>
    <w:rsid w:val="04E14D91"/>
    <w:rsid w:val="050A75B3"/>
    <w:rsid w:val="053A2D28"/>
    <w:rsid w:val="05477CC1"/>
    <w:rsid w:val="055D16F8"/>
    <w:rsid w:val="05791C50"/>
    <w:rsid w:val="05865D1A"/>
    <w:rsid w:val="05A83DFC"/>
    <w:rsid w:val="05AE0BC0"/>
    <w:rsid w:val="05C36C7D"/>
    <w:rsid w:val="0612454B"/>
    <w:rsid w:val="061A1F17"/>
    <w:rsid w:val="06486C19"/>
    <w:rsid w:val="0653571E"/>
    <w:rsid w:val="066C7E9E"/>
    <w:rsid w:val="066E4ED6"/>
    <w:rsid w:val="068275FB"/>
    <w:rsid w:val="069C4BE0"/>
    <w:rsid w:val="06D94872"/>
    <w:rsid w:val="06E83DAD"/>
    <w:rsid w:val="071E102A"/>
    <w:rsid w:val="07565142"/>
    <w:rsid w:val="07570E5B"/>
    <w:rsid w:val="078B265B"/>
    <w:rsid w:val="078F1F31"/>
    <w:rsid w:val="07AA413F"/>
    <w:rsid w:val="07C9544E"/>
    <w:rsid w:val="07F549F5"/>
    <w:rsid w:val="07FB4283"/>
    <w:rsid w:val="082C6F8F"/>
    <w:rsid w:val="082E4A98"/>
    <w:rsid w:val="082F30B5"/>
    <w:rsid w:val="08635D2D"/>
    <w:rsid w:val="086855C7"/>
    <w:rsid w:val="086C51A4"/>
    <w:rsid w:val="08745DA5"/>
    <w:rsid w:val="0889105B"/>
    <w:rsid w:val="089E3630"/>
    <w:rsid w:val="08A50971"/>
    <w:rsid w:val="08B2308B"/>
    <w:rsid w:val="08DB52BD"/>
    <w:rsid w:val="08DF7FC1"/>
    <w:rsid w:val="08F807DD"/>
    <w:rsid w:val="08FB7656"/>
    <w:rsid w:val="093227E9"/>
    <w:rsid w:val="09530BC2"/>
    <w:rsid w:val="097A28F6"/>
    <w:rsid w:val="098E2159"/>
    <w:rsid w:val="099643D7"/>
    <w:rsid w:val="09B75534"/>
    <w:rsid w:val="09BA3D18"/>
    <w:rsid w:val="09E10B15"/>
    <w:rsid w:val="09E41D37"/>
    <w:rsid w:val="09FA7C8C"/>
    <w:rsid w:val="0A672086"/>
    <w:rsid w:val="0A7B70BA"/>
    <w:rsid w:val="0AB5721C"/>
    <w:rsid w:val="0ACD00B8"/>
    <w:rsid w:val="0ADD2FD3"/>
    <w:rsid w:val="0B0B0A6D"/>
    <w:rsid w:val="0B675323"/>
    <w:rsid w:val="0B9E52D2"/>
    <w:rsid w:val="0BEB233A"/>
    <w:rsid w:val="0C0D04A6"/>
    <w:rsid w:val="0C1A57D9"/>
    <w:rsid w:val="0C570728"/>
    <w:rsid w:val="0C9E433E"/>
    <w:rsid w:val="0CA90347"/>
    <w:rsid w:val="0CB93767"/>
    <w:rsid w:val="0CBC7959"/>
    <w:rsid w:val="0CC2754C"/>
    <w:rsid w:val="0CF866BB"/>
    <w:rsid w:val="0D1B6077"/>
    <w:rsid w:val="0D570DE4"/>
    <w:rsid w:val="0D5E0A1C"/>
    <w:rsid w:val="0D691968"/>
    <w:rsid w:val="0D706841"/>
    <w:rsid w:val="0D9C259A"/>
    <w:rsid w:val="0DCB3D4E"/>
    <w:rsid w:val="0E3502B3"/>
    <w:rsid w:val="0E790B7D"/>
    <w:rsid w:val="0E864DD5"/>
    <w:rsid w:val="0E915CF9"/>
    <w:rsid w:val="0EE940DE"/>
    <w:rsid w:val="0EFF3EA0"/>
    <w:rsid w:val="0F0856BF"/>
    <w:rsid w:val="0F216234"/>
    <w:rsid w:val="0F3A23AD"/>
    <w:rsid w:val="0F7E202C"/>
    <w:rsid w:val="0FCC011C"/>
    <w:rsid w:val="0FCF40F7"/>
    <w:rsid w:val="0FEA4585"/>
    <w:rsid w:val="0FF72A8E"/>
    <w:rsid w:val="106D33FD"/>
    <w:rsid w:val="109B3AC8"/>
    <w:rsid w:val="10A16186"/>
    <w:rsid w:val="113F7EAF"/>
    <w:rsid w:val="11434A1A"/>
    <w:rsid w:val="115043D8"/>
    <w:rsid w:val="11BA1C01"/>
    <w:rsid w:val="11C25ADA"/>
    <w:rsid w:val="12071BB7"/>
    <w:rsid w:val="121F15AB"/>
    <w:rsid w:val="12431856"/>
    <w:rsid w:val="129D16C2"/>
    <w:rsid w:val="12D03256"/>
    <w:rsid w:val="12E071C0"/>
    <w:rsid w:val="12E116D2"/>
    <w:rsid w:val="1338607A"/>
    <w:rsid w:val="1343377D"/>
    <w:rsid w:val="13551FF0"/>
    <w:rsid w:val="13576EA4"/>
    <w:rsid w:val="13584A52"/>
    <w:rsid w:val="13B7754C"/>
    <w:rsid w:val="13C36996"/>
    <w:rsid w:val="1414597A"/>
    <w:rsid w:val="14370E8D"/>
    <w:rsid w:val="14634F56"/>
    <w:rsid w:val="14660705"/>
    <w:rsid w:val="14673CD7"/>
    <w:rsid w:val="14B9605E"/>
    <w:rsid w:val="14F26D15"/>
    <w:rsid w:val="14F74785"/>
    <w:rsid w:val="15076111"/>
    <w:rsid w:val="151921BA"/>
    <w:rsid w:val="15601CEC"/>
    <w:rsid w:val="15AA3EBF"/>
    <w:rsid w:val="15F12114"/>
    <w:rsid w:val="16422CBE"/>
    <w:rsid w:val="16467258"/>
    <w:rsid w:val="165E0672"/>
    <w:rsid w:val="167841DE"/>
    <w:rsid w:val="16A55E92"/>
    <w:rsid w:val="16CC1B67"/>
    <w:rsid w:val="172937E7"/>
    <w:rsid w:val="173A1A0E"/>
    <w:rsid w:val="179E2345"/>
    <w:rsid w:val="17AB4ABB"/>
    <w:rsid w:val="17DEC8BE"/>
    <w:rsid w:val="17FCF309"/>
    <w:rsid w:val="181C6721"/>
    <w:rsid w:val="181F2DD8"/>
    <w:rsid w:val="184511DB"/>
    <w:rsid w:val="18646502"/>
    <w:rsid w:val="18AC6C38"/>
    <w:rsid w:val="18B25F43"/>
    <w:rsid w:val="18B36A7E"/>
    <w:rsid w:val="18BC75FD"/>
    <w:rsid w:val="19103EEE"/>
    <w:rsid w:val="19130547"/>
    <w:rsid w:val="192B2524"/>
    <w:rsid w:val="1974491E"/>
    <w:rsid w:val="19D75BEB"/>
    <w:rsid w:val="19F64F21"/>
    <w:rsid w:val="19F8403D"/>
    <w:rsid w:val="1A05487D"/>
    <w:rsid w:val="1A182202"/>
    <w:rsid w:val="1A5F7229"/>
    <w:rsid w:val="1AAB4526"/>
    <w:rsid w:val="1ADE51B6"/>
    <w:rsid w:val="1AEE567C"/>
    <w:rsid w:val="1B512432"/>
    <w:rsid w:val="1B757825"/>
    <w:rsid w:val="1B7B311B"/>
    <w:rsid w:val="1B9709FB"/>
    <w:rsid w:val="1B9C3E62"/>
    <w:rsid w:val="1BB732E6"/>
    <w:rsid w:val="1BBD680D"/>
    <w:rsid w:val="1BD70B90"/>
    <w:rsid w:val="1C10741A"/>
    <w:rsid w:val="1C3C670B"/>
    <w:rsid w:val="1C3E0427"/>
    <w:rsid w:val="1C3E7C3C"/>
    <w:rsid w:val="1C530A97"/>
    <w:rsid w:val="1C7C077E"/>
    <w:rsid w:val="1CD72746"/>
    <w:rsid w:val="1CEA2C0F"/>
    <w:rsid w:val="1DA06EE7"/>
    <w:rsid w:val="1DB96DA0"/>
    <w:rsid w:val="1DCC7537"/>
    <w:rsid w:val="1DE92CB7"/>
    <w:rsid w:val="1DEF87C0"/>
    <w:rsid w:val="1DF567CC"/>
    <w:rsid w:val="1DFF2A41"/>
    <w:rsid w:val="1E1B101A"/>
    <w:rsid w:val="1E3B63E5"/>
    <w:rsid w:val="1E5905EA"/>
    <w:rsid w:val="1EAD7870"/>
    <w:rsid w:val="1EC238A4"/>
    <w:rsid w:val="1EC503FE"/>
    <w:rsid w:val="1ED71429"/>
    <w:rsid w:val="1EE0545C"/>
    <w:rsid w:val="1EE27578"/>
    <w:rsid w:val="1EF95085"/>
    <w:rsid w:val="1EFD4E26"/>
    <w:rsid w:val="1F6B3EE6"/>
    <w:rsid w:val="1F925AE7"/>
    <w:rsid w:val="1FBF3172"/>
    <w:rsid w:val="1FFA806F"/>
    <w:rsid w:val="1FFE389A"/>
    <w:rsid w:val="20006129"/>
    <w:rsid w:val="20216791"/>
    <w:rsid w:val="20337626"/>
    <w:rsid w:val="20354969"/>
    <w:rsid w:val="203E0471"/>
    <w:rsid w:val="2048397F"/>
    <w:rsid w:val="206218EA"/>
    <w:rsid w:val="206B0A86"/>
    <w:rsid w:val="20AC3D7E"/>
    <w:rsid w:val="214A5CFC"/>
    <w:rsid w:val="21940E84"/>
    <w:rsid w:val="21CA657C"/>
    <w:rsid w:val="21DD038D"/>
    <w:rsid w:val="21E14A81"/>
    <w:rsid w:val="22020EC5"/>
    <w:rsid w:val="22150BBF"/>
    <w:rsid w:val="22486F1B"/>
    <w:rsid w:val="2254769F"/>
    <w:rsid w:val="2269023C"/>
    <w:rsid w:val="2294386A"/>
    <w:rsid w:val="22AD2DC3"/>
    <w:rsid w:val="22D94153"/>
    <w:rsid w:val="22FD4F75"/>
    <w:rsid w:val="23161A7D"/>
    <w:rsid w:val="23374625"/>
    <w:rsid w:val="23540B32"/>
    <w:rsid w:val="23653518"/>
    <w:rsid w:val="236F0AF4"/>
    <w:rsid w:val="236F3085"/>
    <w:rsid w:val="238368B5"/>
    <w:rsid w:val="23926E2B"/>
    <w:rsid w:val="239B13BD"/>
    <w:rsid w:val="23DE0893"/>
    <w:rsid w:val="23F3504E"/>
    <w:rsid w:val="240224C9"/>
    <w:rsid w:val="246A716A"/>
    <w:rsid w:val="24A2213B"/>
    <w:rsid w:val="24D5630A"/>
    <w:rsid w:val="24FD60A5"/>
    <w:rsid w:val="254A72D2"/>
    <w:rsid w:val="255107CD"/>
    <w:rsid w:val="25A371C3"/>
    <w:rsid w:val="260B5044"/>
    <w:rsid w:val="26170F1B"/>
    <w:rsid w:val="264D1CEB"/>
    <w:rsid w:val="264E5C32"/>
    <w:rsid w:val="2660222B"/>
    <w:rsid w:val="26685140"/>
    <w:rsid w:val="26A82CF6"/>
    <w:rsid w:val="26B63251"/>
    <w:rsid w:val="26B81A3D"/>
    <w:rsid w:val="26CC7230"/>
    <w:rsid w:val="26D53D5A"/>
    <w:rsid w:val="26DDE4CB"/>
    <w:rsid w:val="26E7F086"/>
    <w:rsid w:val="270374A7"/>
    <w:rsid w:val="271C0B4D"/>
    <w:rsid w:val="271D3C6E"/>
    <w:rsid w:val="273FA738"/>
    <w:rsid w:val="27474C45"/>
    <w:rsid w:val="274E489B"/>
    <w:rsid w:val="27560F4D"/>
    <w:rsid w:val="27734022"/>
    <w:rsid w:val="279505C3"/>
    <w:rsid w:val="27B8777C"/>
    <w:rsid w:val="27E37C28"/>
    <w:rsid w:val="27E65748"/>
    <w:rsid w:val="27EF0E0A"/>
    <w:rsid w:val="27FB4BD1"/>
    <w:rsid w:val="28105CBB"/>
    <w:rsid w:val="28155294"/>
    <w:rsid w:val="28161043"/>
    <w:rsid w:val="281D7EAD"/>
    <w:rsid w:val="28214ABC"/>
    <w:rsid w:val="287BB881"/>
    <w:rsid w:val="28877F2B"/>
    <w:rsid w:val="288E29C0"/>
    <w:rsid w:val="28C12955"/>
    <w:rsid w:val="29486DB9"/>
    <w:rsid w:val="295AA905"/>
    <w:rsid w:val="296911B1"/>
    <w:rsid w:val="297940BA"/>
    <w:rsid w:val="29C11BC8"/>
    <w:rsid w:val="29E460A9"/>
    <w:rsid w:val="2A0C2C13"/>
    <w:rsid w:val="2A603FFA"/>
    <w:rsid w:val="2A705655"/>
    <w:rsid w:val="2A7367C4"/>
    <w:rsid w:val="2A8511E5"/>
    <w:rsid w:val="2A8C57F7"/>
    <w:rsid w:val="2A9A423D"/>
    <w:rsid w:val="2AAB127B"/>
    <w:rsid w:val="2AB342EF"/>
    <w:rsid w:val="2AB803B5"/>
    <w:rsid w:val="2AD10E5E"/>
    <w:rsid w:val="2ADE0915"/>
    <w:rsid w:val="2AE66CC4"/>
    <w:rsid w:val="2B2A2C0A"/>
    <w:rsid w:val="2B4B0255"/>
    <w:rsid w:val="2B5A38C8"/>
    <w:rsid w:val="2B6348C0"/>
    <w:rsid w:val="2B7610F9"/>
    <w:rsid w:val="2B797784"/>
    <w:rsid w:val="2B7D6AC0"/>
    <w:rsid w:val="2BD34D63"/>
    <w:rsid w:val="2BEC05C1"/>
    <w:rsid w:val="2C175624"/>
    <w:rsid w:val="2C254DFD"/>
    <w:rsid w:val="2C676A89"/>
    <w:rsid w:val="2C8950F3"/>
    <w:rsid w:val="2CB416B3"/>
    <w:rsid w:val="2CF40360"/>
    <w:rsid w:val="2D2B5ABF"/>
    <w:rsid w:val="2D446A8A"/>
    <w:rsid w:val="2D780950"/>
    <w:rsid w:val="2D94489F"/>
    <w:rsid w:val="2DA478E4"/>
    <w:rsid w:val="2DB378D5"/>
    <w:rsid w:val="2DD80C65"/>
    <w:rsid w:val="2DDB01DE"/>
    <w:rsid w:val="2DDD564F"/>
    <w:rsid w:val="2DE858CF"/>
    <w:rsid w:val="2DEFF7DC"/>
    <w:rsid w:val="2DF119C3"/>
    <w:rsid w:val="2E0230B5"/>
    <w:rsid w:val="2E120718"/>
    <w:rsid w:val="2E2E16CA"/>
    <w:rsid w:val="2E334504"/>
    <w:rsid w:val="2E373BF0"/>
    <w:rsid w:val="2E6C19D2"/>
    <w:rsid w:val="2E781FEA"/>
    <w:rsid w:val="2E792D3C"/>
    <w:rsid w:val="2E8B534E"/>
    <w:rsid w:val="2EF352F3"/>
    <w:rsid w:val="2EFD60B6"/>
    <w:rsid w:val="2F205609"/>
    <w:rsid w:val="2F243E38"/>
    <w:rsid w:val="2F660F33"/>
    <w:rsid w:val="2F697B89"/>
    <w:rsid w:val="2F77F070"/>
    <w:rsid w:val="2F937DDD"/>
    <w:rsid w:val="2FB2233A"/>
    <w:rsid w:val="2FBB0B84"/>
    <w:rsid w:val="2FCBE142"/>
    <w:rsid w:val="2FD625D3"/>
    <w:rsid w:val="2FEA01C1"/>
    <w:rsid w:val="2FED6BD1"/>
    <w:rsid w:val="30026423"/>
    <w:rsid w:val="300F28D9"/>
    <w:rsid w:val="301D6FC8"/>
    <w:rsid w:val="303D237F"/>
    <w:rsid w:val="303E1B03"/>
    <w:rsid w:val="307D7965"/>
    <w:rsid w:val="30875EEF"/>
    <w:rsid w:val="309534A9"/>
    <w:rsid w:val="30991069"/>
    <w:rsid w:val="30A81284"/>
    <w:rsid w:val="30B45034"/>
    <w:rsid w:val="30BF43B2"/>
    <w:rsid w:val="30EF099A"/>
    <w:rsid w:val="30FD2BBE"/>
    <w:rsid w:val="31375BFE"/>
    <w:rsid w:val="313F743D"/>
    <w:rsid w:val="315D2BD8"/>
    <w:rsid w:val="31704587"/>
    <w:rsid w:val="318C2C08"/>
    <w:rsid w:val="318D390E"/>
    <w:rsid w:val="31C94E7D"/>
    <w:rsid w:val="31CF4AC0"/>
    <w:rsid w:val="31D07921"/>
    <w:rsid w:val="31F706C6"/>
    <w:rsid w:val="322062DB"/>
    <w:rsid w:val="32A23D4B"/>
    <w:rsid w:val="32B01183"/>
    <w:rsid w:val="33213A98"/>
    <w:rsid w:val="33410338"/>
    <w:rsid w:val="335E1CBA"/>
    <w:rsid w:val="335E3980"/>
    <w:rsid w:val="33A13147"/>
    <w:rsid w:val="33B124F9"/>
    <w:rsid w:val="33B8365D"/>
    <w:rsid w:val="33C46632"/>
    <w:rsid w:val="33F111A9"/>
    <w:rsid w:val="33FBDBDA"/>
    <w:rsid w:val="34005B02"/>
    <w:rsid w:val="34424EFC"/>
    <w:rsid w:val="34454B4F"/>
    <w:rsid w:val="345B48C3"/>
    <w:rsid w:val="347555C8"/>
    <w:rsid w:val="347D6C03"/>
    <w:rsid w:val="34812687"/>
    <w:rsid w:val="34DB6312"/>
    <w:rsid w:val="34E91D7E"/>
    <w:rsid w:val="34EC2023"/>
    <w:rsid w:val="34F15C08"/>
    <w:rsid w:val="34FC7932"/>
    <w:rsid w:val="3503449B"/>
    <w:rsid w:val="351F2D94"/>
    <w:rsid w:val="354000C8"/>
    <w:rsid w:val="35702FE3"/>
    <w:rsid w:val="35A32764"/>
    <w:rsid w:val="35C55760"/>
    <w:rsid w:val="35C70F8E"/>
    <w:rsid w:val="35DFE53F"/>
    <w:rsid w:val="35EF282C"/>
    <w:rsid w:val="35FE00BD"/>
    <w:rsid w:val="35FFD142"/>
    <w:rsid w:val="360748B0"/>
    <w:rsid w:val="363705BA"/>
    <w:rsid w:val="3694162F"/>
    <w:rsid w:val="36A6692E"/>
    <w:rsid w:val="36C32440"/>
    <w:rsid w:val="36D05DF1"/>
    <w:rsid w:val="36EF50FB"/>
    <w:rsid w:val="370F6B8F"/>
    <w:rsid w:val="375F634E"/>
    <w:rsid w:val="37771B5F"/>
    <w:rsid w:val="37897E3C"/>
    <w:rsid w:val="37964583"/>
    <w:rsid w:val="37A36FC7"/>
    <w:rsid w:val="37BB4F97"/>
    <w:rsid w:val="37CD1C14"/>
    <w:rsid w:val="37FDEAB1"/>
    <w:rsid w:val="37FF8A14"/>
    <w:rsid w:val="386E5A04"/>
    <w:rsid w:val="387D4C63"/>
    <w:rsid w:val="3888796B"/>
    <w:rsid w:val="389132CE"/>
    <w:rsid w:val="38BB320E"/>
    <w:rsid w:val="38BD596C"/>
    <w:rsid w:val="38C339BA"/>
    <w:rsid w:val="39395EB3"/>
    <w:rsid w:val="394D5191"/>
    <w:rsid w:val="39983D35"/>
    <w:rsid w:val="39BC6A8B"/>
    <w:rsid w:val="39C263A1"/>
    <w:rsid w:val="39E267F4"/>
    <w:rsid w:val="3A3770AC"/>
    <w:rsid w:val="3A3E29DE"/>
    <w:rsid w:val="3A3E2A0D"/>
    <w:rsid w:val="3A881E98"/>
    <w:rsid w:val="3AB7227A"/>
    <w:rsid w:val="3ADFCB28"/>
    <w:rsid w:val="3AF35832"/>
    <w:rsid w:val="3B15249F"/>
    <w:rsid w:val="3B273E67"/>
    <w:rsid w:val="3B2A49CA"/>
    <w:rsid w:val="3B2E6E74"/>
    <w:rsid w:val="3B36816F"/>
    <w:rsid w:val="3B5B0AA3"/>
    <w:rsid w:val="3B6439F2"/>
    <w:rsid w:val="3B6A6FA3"/>
    <w:rsid w:val="3B6F53C6"/>
    <w:rsid w:val="3B986989"/>
    <w:rsid w:val="3BAE581C"/>
    <w:rsid w:val="3BAF8C97"/>
    <w:rsid w:val="3BDF6A78"/>
    <w:rsid w:val="3BE844BC"/>
    <w:rsid w:val="3BEFAC6D"/>
    <w:rsid w:val="3BF5A804"/>
    <w:rsid w:val="3BF64DFF"/>
    <w:rsid w:val="3BF91A80"/>
    <w:rsid w:val="3BFC74D8"/>
    <w:rsid w:val="3C183328"/>
    <w:rsid w:val="3C245EE1"/>
    <w:rsid w:val="3C495D5D"/>
    <w:rsid w:val="3C7F32A5"/>
    <w:rsid w:val="3CB4304B"/>
    <w:rsid w:val="3CD13432"/>
    <w:rsid w:val="3CDFDD8C"/>
    <w:rsid w:val="3CEA7F14"/>
    <w:rsid w:val="3CFBB05E"/>
    <w:rsid w:val="3CFF8DD4"/>
    <w:rsid w:val="3D037F6C"/>
    <w:rsid w:val="3D370C2C"/>
    <w:rsid w:val="3D3E75DA"/>
    <w:rsid w:val="3D833FAB"/>
    <w:rsid w:val="3D855E8F"/>
    <w:rsid w:val="3DBE4B42"/>
    <w:rsid w:val="3DC2422B"/>
    <w:rsid w:val="3DC34595"/>
    <w:rsid w:val="3DC71328"/>
    <w:rsid w:val="3DCCCDCA"/>
    <w:rsid w:val="3DDE251E"/>
    <w:rsid w:val="3DDFC2DD"/>
    <w:rsid w:val="3DF643D3"/>
    <w:rsid w:val="3DF773BB"/>
    <w:rsid w:val="3DFA700B"/>
    <w:rsid w:val="3DFF287C"/>
    <w:rsid w:val="3DFF3685"/>
    <w:rsid w:val="3DFFC969"/>
    <w:rsid w:val="3E2551A0"/>
    <w:rsid w:val="3E3F4FAC"/>
    <w:rsid w:val="3E5266DA"/>
    <w:rsid w:val="3E5C6723"/>
    <w:rsid w:val="3E674786"/>
    <w:rsid w:val="3E8C1FBC"/>
    <w:rsid w:val="3EB82A80"/>
    <w:rsid w:val="3EBE631C"/>
    <w:rsid w:val="3EDD61D2"/>
    <w:rsid w:val="3EDE135C"/>
    <w:rsid w:val="3EE31543"/>
    <w:rsid w:val="3EFFFEC2"/>
    <w:rsid w:val="3F241733"/>
    <w:rsid w:val="3F2E6B91"/>
    <w:rsid w:val="3F341B93"/>
    <w:rsid w:val="3F3F679D"/>
    <w:rsid w:val="3F46568F"/>
    <w:rsid w:val="3F51E4A9"/>
    <w:rsid w:val="3F5ED8E5"/>
    <w:rsid w:val="3F712902"/>
    <w:rsid w:val="3F743DBC"/>
    <w:rsid w:val="3F7A4908"/>
    <w:rsid w:val="3F7F95C9"/>
    <w:rsid w:val="3F8412D2"/>
    <w:rsid w:val="3FA20550"/>
    <w:rsid w:val="3FB5D491"/>
    <w:rsid w:val="3FBD56EA"/>
    <w:rsid w:val="3FCAC3EE"/>
    <w:rsid w:val="3FCD260A"/>
    <w:rsid w:val="3FE6E290"/>
    <w:rsid w:val="3FE75BAA"/>
    <w:rsid w:val="3FEADFC9"/>
    <w:rsid w:val="3FEB5262"/>
    <w:rsid w:val="3FEBC58C"/>
    <w:rsid w:val="3FFBC2BE"/>
    <w:rsid w:val="3FFC925E"/>
    <w:rsid w:val="3FFF58B6"/>
    <w:rsid w:val="40002FA4"/>
    <w:rsid w:val="40203A9F"/>
    <w:rsid w:val="4076060E"/>
    <w:rsid w:val="409346B5"/>
    <w:rsid w:val="40937BF3"/>
    <w:rsid w:val="40BD2C32"/>
    <w:rsid w:val="40C6215A"/>
    <w:rsid w:val="40F508F6"/>
    <w:rsid w:val="40FF20E1"/>
    <w:rsid w:val="410823AA"/>
    <w:rsid w:val="41091A3F"/>
    <w:rsid w:val="4135440C"/>
    <w:rsid w:val="41774C02"/>
    <w:rsid w:val="417911D3"/>
    <w:rsid w:val="417E3DF9"/>
    <w:rsid w:val="419F057D"/>
    <w:rsid w:val="41B26AFC"/>
    <w:rsid w:val="41B57A78"/>
    <w:rsid w:val="41C27901"/>
    <w:rsid w:val="422600BC"/>
    <w:rsid w:val="42792226"/>
    <w:rsid w:val="429A513B"/>
    <w:rsid w:val="42BA0160"/>
    <w:rsid w:val="42D65CAD"/>
    <w:rsid w:val="42E3433A"/>
    <w:rsid w:val="42FB924D"/>
    <w:rsid w:val="434A126D"/>
    <w:rsid w:val="43622497"/>
    <w:rsid w:val="43707707"/>
    <w:rsid w:val="43710279"/>
    <w:rsid w:val="438C370E"/>
    <w:rsid w:val="43B558D2"/>
    <w:rsid w:val="43E15CB0"/>
    <w:rsid w:val="4404639D"/>
    <w:rsid w:val="443113CB"/>
    <w:rsid w:val="44596846"/>
    <w:rsid w:val="44611071"/>
    <w:rsid w:val="447F02D7"/>
    <w:rsid w:val="44893655"/>
    <w:rsid w:val="44AB5B69"/>
    <w:rsid w:val="44C5481C"/>
    <w:rsid w:val="44C737A1"/>
    <w:rsid w:val="44CC0E1A"/>
    <w:rsid w:val="44D20D48"/>
    <w:rsid w:val="44E840AB"/>
    <w:rsid w:val="455D2CEE"/>
    <w:rsid w:val="456711A8"/>
    <w:rsid w:val="45796CDD"/>
    <w:rsid w:val="45907388"/>
    <w:rsid w:val="45CC4F1B"/>
    <w:rsid w:val="45EA21C2"/>
    <w:rsid w:val="45EE190D"/>
    <w:rsid w:val="4666251D"/>
    <w:rsid w:val="46792E1F"/>
    <w:rsid w:val="46E765E4"/>
    <w:rsid w:val="46F57FC6"/>
    <w:rsid w:val="472377DC"/>
    <w:rsid w:val="47346634"/>
    <w:rsid w:val="47524575"/>
    <w:rsid w:val="477732C3"/>
    <w:rsid w:val="47C1197E"/>
    <w:rsid w:val="47CA17E3"/>
    <w:rsid w:val="47FE3830"/>
    <w:rsid w:val="48015DC5"/>
    <w:rsid w:val="48164499"/>
    <w:rsid w:val="4855794D"/>
    <w:rsid w:val="485D5AB6"/>
    <w:rsid w:val="487139CB"/>
    <w:rsid w:val="48A03381"/>
    <w:rsid w:val="48AB26A9"/>
    <w:rsid w:val="492D462B"/>
    <w:rsid w:val="493458AF"/>
    <w:rsid w:val="49700CDF"/>
    <w:rsid w:val="498933A0"/>
    <w:rsid w:val="49BC0A8C"/>
    <w:rsid w:val="49C65588"/>
    <w:rsid w:val="49C655E4"/>
    <w:rsid w:val="49D178F1"/>
    <w:rsid w:val="49F3791E"/>
    <w:rsid w:val="4A032B44"/>
    <w:rsid w:val="4A083F47"/>
    <w:rsid w:val="4A465CDA"/>
    <w:rsid w:val="4A6C73EE"/>
    <w:rsid w:val="4A8C019B"/>
    <w:rsid w:val="4A981755"/>
    <w:rsid w:val="4AA54BB7"/>
    <w:rsid w:val="4AD611F7"/>
    <w:rsid w:val="4AF5223B"/>
    <w:rsid w:val="4AFB324E"/>
    <w:rsid w:val="4AFD4638"/>
    <w:rsid w:val="4AFFCA2F"/>
    <w:rsid w:val="4B1E7002"/>
    <w:rsid w:val="4B291A6C"/>
    <w:rsid w:val="4B4274D3"/>
    <w:rsid w:val="4B700621"/>
    <w:rsid w:val="4B8F3638"/>
    <w:rsid w:val="4BBE3D58"/>
    <w:rsid w:val="4BBE54B8"/>
    <w:rsid w:val="4BC16E83"/>
    <w:rsid w:val="4BC644E3"/>
    <w:rsid w:val="4BDD5743"/>
    <w:rsid w:val="4BF10B94"/>
    <w:rsid w:val="4BF34B48"/>
    <w:rsid w:val="4BFF1D21"/>
    <w:rsid w:val="4C047AE4"/>
    <w:rsid w:val="4C0C7F4E"/>
    <w:rsid w:val="4C352C07"/>
    <w:rsid w:val="4C47636A"/>
    <w:rsid w:val="4C5F0975"/>
    <w:rsid w:val="4C8776BE"/>
    <w:rsid w:val="4CA82EC8"/>
    <w:rsid w:val="4CBB337B"/>
    <w:rsid w:val="4D205AB9"/>
    <w:rsid w:val="4D986D67"/>
    <w:rsid w:val="4DFC16B5"/>
    <w:rsid w:val="4E1A585A"/>
    <w:rsid w:val="4E815217"/>
    <w:rsid w:val="4EA408F5"/>
    <w:rsid w:val="4EB072AE"/>
    <w:rsid w:val="4EDD3037"/>
    <w:rsid w:val="4EDD740E"/>
    <w:rsid w:val="4EFC1CFB"/>
    <w:rsid w:val="4F003CF8"/>
    <w:rsid w:val="4F1B1E20"/>
    <w:rsid w:val="4F20788F"/>
    <w:rsid w:val="4F2532A8"/>
    <w:rsid w:val="4F2F1FA8"/>
    <w:rsid w:val="4F73CA3B"/>
    <w:rsid w:val="4F7FCA8D"/>
    <w:rsid w:val="4F7FF3DD"/>
    <w:rsid w:val="4FBF0146"/>
    <w:rsid w:val="4FF75E38"/>
    <w:rsid w:val="4FF777E6"/>
    <w:rsid w:val="4FFF3223"/>
    <w:rsid w:val="502510D7"/>
    <w:rsid w:val="502C09D2"/>
    <w:rsid w:val="50710444"/>
    <w:rsid w:val="509914AE"/>
    <w:rsid w:val="50A31B78"/>
    <w:rsid w:val="51343AF8"/>
    <w:rsid w:val="51493DA2"/>
    <w:rsid w:val="5167516C"/>
    <w:rsid w:val="5175272B"/>
    <w:rsid w:val="518C0C77"/>
    <w:rsid w:val="51940192"/>
    <w:rsid w:val="519E4E09"/>
    <w:rsid w:val="51BFCBA5"/>
    <w:rsid w:val="51DB5A01"/>
    <w:rsid w:val="52102941"/>
    <w:rsid w:val="52156765"/>
    <w:rsid w:val="5235482A"/>
    <w:rsid w:val="52470ACF"/>
    <w:rsid w:val="52470B69"/>
    <w:rsid w:val="52566F10"/>
    <w:rsid w:val="52DC531B"/>
    <w:rsid w:val="52FA27B6"/>
    <w:rsid w:val="52FA4CBE"/>
    <w:rsid w:val="53084E3A"/>
    <w:rsid w:val="53090CDD"/>
    <w:rsid w:val="53633F41"/>
    <w:rsid w:val="536D428D"/>
    <w:rsid w:val="53FA111E"/>
    <w:rsid w:val="54196FFF"/>
    <w:rsid w:val="54311D66"/>
    <w:rsid w:val="543F448F"/>
    <w:rsid w:val="54671905"/>
    <w:rsid w:val="547B27FC"/>
    <w:rsid w:val="5491618F"/>
    <w:rsid w:val="54B222F5"/>
    <w:rsid w:val="54B869B4"/>
    <w:rsid w:val="54BD0BBC"/>
    <w:rsid w:val="54C23534"/>
    <w:rsid w:val="54CD55E4"/>
    <w:rsid w:val="54D64F19"/>
    <w:rsid w:val="55507A19"/>
    <w:rsid w:val="55A105DC"/>
    <w:rsid w:val="55A92684"/>
    <w:rsid w:val="55F756A8"/>
    <w:rsid w:val="55FF907F"/>
    <w:rsid w:val="56086C36"/>
    <w:rsid w:val="560E3451"/>
    <w:rsid w:val="561265C9"/>
    <w:rsid w:val="566B1AB0"/>
    <w:rsid w:val="56726842"/>
    <w:rsid w:val="56B755AE"/>
    <w:rsid w:val="56D57CBB"/>
    <w:rsid w:val="56E13BE9"/>
    <w:rsid w:val="56EA6F13"/>
    <w:rsid w:val="56EF234B"/>
    <w:rsid w:val="56F632B4"/>
    <w:rsid w:val="5701156A"/>
    <w:rsid w:val="571E4F05"/>
    <w:rsid w:val="57204E71"/>
    <w:rsid w:val="5742260F"/>
    <w:rsid w:val="574A10F2"/>
    <w:rsid w:val="574DAB73"/>
    <w:rsid w:val="5755F2B0"/>
    <w:rsid w:val="576B2391"/>
    <w:rsid w:val="576F2465"/>
    <w:rsid w:val="577C1A88"/>
    <w:rsid w:val="577CE2CA"/>
    <w:rsid w:val="579715C2"/>
    <w:rsid w:val="57C23F8C"/>
    <w:rsid w:val="57DD3D3A"/>
    <w:rsid w:val="57DD70CE"/>
    <w:rsid w:val="57DF1D55"/>
    <w:rsid w:val="57F76AAB"/>
    <w:rsid w:val="57FF1A48"/>
    <w:rsid w:val="57FF5F9D"/>
    <w:rsid w:val="58016955"/>
    <w:rsid w:val="580A5066"/>
    <w:rsid w:val="58161325"/>
    <w:rsid w:val="582965E0"/>
    <w:rsid w:val="582E0B4C"/>
    <w:rsid w:val="58336EDC"/>
    <w:rsid w:val="58632643"/>
    <w:rsid w:val="58826B18"/>
    <w:rsid w:val="589562ED"/>
    <w:rsid w:val="5943587C"/>
    <w:rsid w:val="594A3E4C"/>
    <w:rsid w:val="59701C2C"/>
    <w:rsid w:val="597943FC"/>
    <w:rsid w:val="59E7721D"/>
    <w:rsid w:val="59F332F1"/>
    <w:rsid w:val="5A1E7D8A"/>
    <w:rsid w:val="5A43668F"/>
    <w:rsid w:val="5A5D0E1B"/>
    <w:rsid w:val="5A814E4D"/>
    <w:rsid w:val="5A8738BE"/>
    <w:rsid w:val="5A957F2E"/>
    <w:rsid w:val="5A9A78F9"/>
    <w:rsid w:val="5AA3628F"/>
    <w:rsid w:val="5AB0707A"/>
    <w:rsid w:val="5AB50767"/>
    <w:rsid w:val="5AC44DD6"/>
    <w:rsid w:val="5AD71D23"/>
    <w:rsid w:val="5AD7F8E4"/>
    <w:rsid w:val="5AF6083B"/>
    <w:rsid w:val="5AFA2B40"/>
    <w:rsid w:val="5B445CCE"/>
    <w:rsid w:val="5B53072F"/>
    <w:rsid w:val="5B571509"/>
    <w:rsid w:val="5B9126A7"/>
    <w:rsid w:val="5BB31685"/>
    <w:rsid w:val="5BD93829"/>
    <w:rsid w:val="5BD9626F"/>
    <w:rsid w:val="5BDF9AAE"/>
    <w:rsid w:val="5BF42A64"/>
    <w:rsid w:val="5BFFE4B1"/>
    <w:rsid w:val="5C0B5AB8"/>
    <w:rsid w:val="5C624734"/>
    <w:rsid w:val="5C6E76A0"/>
    <w:rsid w:val="5C7D7514"/>
    <w:rsid w:val="5C865DEA"/>
    <w:rsid w:val="5C9361EB"/>
    <w:rsid w:val="5C95505F"/>
    <w:rsid w:val="5CA05F51"/>
    <w:rsid w:val="5CAC75F7"/>
    <w:rsid w:val="5CE97645"/>
    <w:rsid w:val="5CF73C97"/>
    <w:rsid w:val="5CF7BC68"/>
    <w:rsid w:val="5CFB4DB2"/>
    <w:rsid w:val="5D095147"/>
    <w:rsid w:val="5D187416"/>
    <w:rsid w:val="5D4F26C0"/>
    <w:rsid w:val="5D585D76"/>
    <w:rsid w:val="5D6A7CBF"/>
    <w:rsid w:val="5D8B0BC6"/>
    <w:rsid w:val="5D926708"/>
    <w:rsid w:val="5D944159"/>
    <w:rsid w:val="5D9DF943"/>
    <w:rsid w:val="5DA46CBA"/>
    <w:rsid w:val="5DB73A40"/>
    <w:rsid w:val="5DC90E66"/>
    <w:rsid w:val="5DDF609A"/>
    <w:rsid w:val="5DE32EBD"/>
    <w:rsid w:val="5DF7180D"/>
    <w:rsid w:val="5DFF6DC5"/>
    <w:rsid w:val="5E044D33"/>
    <w:rsid w:val="5E0821AC"/>
    <w:rsid w:val="5E151A78"/>
    <w:rsid w:val="5E17ADAA"/>
    <w:rsid w:val="5E2E3EEC"/>
    <w:rsid w:val="5E2F1330"/>
    <w:rsid w:val="5E4A2ECA"/>
    <w:rsid w:val="5E792D26"/>
    <w:rsid w:val="5E8B49CB"/>
    <w:rsid w:val="5E951666"/>
    <w:rsid w:val="5EAF5508"/>
    <w:rsid w:val="5EBC0D27"/>
    <w:rsid w:val="5EC37AD9"/>
    <w:rsid w:val="5EEC37BC"/>
    <w:rsid w:val="5EF87001"/>
    <w:rsid w:val="5EFF4535"/>
    <w:rsid w:val="5EFFBD67"/>
    <w:rsid w:val="5EFFD0DA"/>
    <w:rsid w:val="5F291DE0"/>
    <w:rsid w:val="5F386669"/>
    <w:rsid w:val="5F42260F"/>
    <w:rsid w:val="5F437219"/>
    <w:rsid w:val="5F5C6847"/>
    <w:rsid w:val="5F74649E"/>
    <w:rsid w:val="5F7913BF"/>
    <w:rsid w:val="5F7AE052"/>
    <w:rsid w:val="5F7D4559"/>
    <w:rsid w:val="5F8B34C5"/>
    <w:rsid w:val="5FA771F7"/>
    <w:rsid w:val="5FA77BD2"/>
    <w:rsid w:val="5FA7ADA7"/>
    <w:rsid w:val="5FD42167"/>
    <w:rsid w:val="5FD953BE"/>
    <w:rsid w:val="5FDDE6A5"/>
    <w:rsid w:val="5FE626E9"/>
    <w:rsid w:val="5FE6C021"/>
    <w:rsid w:val="5FED6E29"/>
    <w:rsid w:val="5FEE5078"/>
    <w:rsid w:val="5FEFE6DE"/>
    <w:rsid w:val="5FFB323F"/>
    <w:rsid w:val="5FFB4ACC"/>
    <w:rsid w:val="5FFC3937"/>
    <w:rsid w:val="5FFF15C5"/>
    <w:rsid w:val="5FFF7A64"/>
    <w:rsid w:val="603B3C5B"/>
    <w:rsid w:val="604B2401"/>
    <w:rsid w:val="606D40F2"/>
    <w:rsid w:val="607D7081"/>
    <w:rsid w:val="60803B45"/>
    <w:rsid w:val="60AC1FD4"/>
    <w:rsid w:val="60D43F42"/>
    <w:rsid w:val="60E21BAF"/>
    <w:rsid w:val="60F765DB"/>
    <w:rsid w:val="60FC532E"/>
    <w:rsid w:val="614F14C3"/>
    <w:rsid w:val="61765360"/>
    <w:rsid w:val="618168DB"/>
    <w:rsid w:val="61884417"/>
    <w:rsid w:val="618F16BC"/>
    <w:rsid w:val="619936E4"/>
    <w:rsid w:val="61C56C37"/>
    <w:rsid w:val="61C79345"/>
    <w:rsid w:val="62112F2A"/>
    <w:rsid w:val="62331817"/>
    <w:rsid w:val="629343D4"/>
    <w:rsid w:val="629C0AB7"/>
    <w:rsid w:val="62E46C3F"/>
    <w:rsid w:val="62FE82AB"/>
    <w:rsid w:val="63085D57"/>
    <w:rsid w:val="6369239E"/>
    <w:rsid w:val="6380208F"/>
    <w:rsid w:val="638166DE"/>
    <w:rsid w:val="63A10408"/>
    <w:rsid w:val="63D436AD"/>
    <w:rsid w:val="63EA35C1"/>
    <w:rsid w:val="63EC2F20"/>
    <w:rsid w:val="63F748B9"/>
    <w:rsid w:val="644C6BD1"/>
    <w:rsid w:val="645E5CAF"/>
    <w:rsid w:val="646F1583"/>
    <w:rsid w:val="649FC750"/>
    <w:rsid w:val="64BBECB2"/>
    <w:rsid w:val="64D9269E"/>
    <w:rsid w:val="65325C20"/>
    <w:rsid w:val="65327161"/>
    <w:rsid w:val="653E20DA"/>
    <w:rsid w:val="656F36CD"/>
    <w:rsid w:val="65770E3B"/>
    <w:rsid w:val="65853CB2"/>
    <w:rsid w:val="658D69C2"/>
    <w:rsid w:val="65D50478"/>
    <w:rsid w:val="65DB4B88"/>
    <w:rsid w:val="65E526ED"/>
    <w:rsid w:val="667A642C"/>
    <w:rsid w:val="669C6B37"/>
    <w:rsid w:val="66E37392"/>
    <w:rsid w:val="66F2CAFD"/>
    <w:rsid w:val="671865BD"/>
    <w:rsid w:val="6719DBAC"/>
    <w:rsid w:val="673C779F"/>
    <w:rsid w:val="677A2AF0"/>
    <w:rsid w:val="677D32C7"/>
    <w:rsid w:val="67A42390"/>
    <w:rsid w:val="67BFF37C"/>
    <w:rsid w:val="67D64483"/>
    <w:rsid w:val="67DC6218"/>
    <w:rsid w:val="67DF619A"/>
    <w:rsid w:val="67E31634"/>
    <w:rsid w:val="67FD1249"/>
    <w:rsid w:val="67FD56DA"/>
    <w:rsid w:val="682E0FC8"/>
    <w:rsid w:val="68372E8F"/>
    <w:rsid w:val="68794E58"/>
    <w:rsid w:val="68C51424"/>
    <w:rsid w:val="68C609E0"/>
    <w:rsid w:val="68CD1217"/>
    <w:rsid w:val="68F01659"/>
    <w:rsid w:val="68F320DB"/>
    <w:rsid w:val="692E26A5"/>
    <w:rsid w:val="69340515"/>
    <w:rsid w:val="69430E91"/>
    <w:rsid w:val="696C1739"/>
    <w:rsid w:val="69CD53AE"/>
    <w:rsid w:val="69F66233"/>
    <w:rsid w:val="69FD3FD7"/>
    <w:rsid w:val="6A0E7B8D"/>
    <w:rsid w:val="6A113287"/>
    <w:rsid w:val="6A3069A8"/>
    <w:rsid w:val="6A3D152B"/>
    <w:rsid w:val="6A5927FA"/>
    <w:rsid w:val="6A5D5708"/>
    <w:rsid w:val="6A662E06"/>
    <w:rsid w:val="6A6907E6"/>
    <w:rsid w:val="6A6F07E1"/>
    <w:rsid w:val="6AD81CDE"/>
    <w:rsid w:val="6ADD1836"/>
    <w:rsid w:val="6AE6051C"/>
    <w:rsid w:val="6AFC5743"/>
    <w:rsid w:val="6B0A5FD3"/>
    <w:rsid w:val="6B114EDF"/>
    <w:rsid w:val="6B23FA8E"/>
    <w:rsid w:val="6B35AF8A"/>
    <w:rsid w:val="6B503FC5"/>
    <w:rsid w:val="6B780ACA"/>
    <w:rsid w:val="6B7A019F"/>
    <w:rsid w:val="6B911F84"/>
    <w:rsid w:val="6BB76CC3"/>
    <w:rsid w:val="6BC10E4F"/>
    <w:rsid w:val="6BECA9BE"/>
    <w:rsid w:val="6BED4B54"/>
    <w:rsid w:val="6BEF680C"/>
    <w:rsid w:val="6BFBEEB5"/>
    <w:rsid w:val="6BFF7399"/>
    <w:rsid w:val="6BFF9972"/>
    <w:rsid w:val="6C027C30"/>
    <w:rsid w:val="6C2048A2"/>
    <w:rsid w:val="6C2326EA"/>
    <w:rsid w:val="6C2FE2B1"/>
    <w:rsid w:val="6C6E3F47"/>
    <w:rsid w:val="6C725F76"/>
    <w:rsid w:val="6C7669FD"/>
    <w:rsid w:val="6C7763BC"/>
    <w:rsid w:val="6C977B2A"/>
    <w:rsid w:val="6CAE9FC8"/>
    <w:rsid w:val="6CB37F66"/>
    <w:rsid w:val="6CE488B8"/>
    <w:rsid w:val="6CF83175"/>
    <w:rsid w:val="6CFDFF97"/>
    <w:rsid w:val="6D0C72CF"/>
    <w:rsid w:val="6D161C92"/>
    <w:rsid w:val="6D2A5B1B"/>
    <w:rsid w:val="6D401A21"/>
    <w:rsid w:val="6D750F7A"/>
    <w:rsid w:val="6D7C3417"/>
    <w:rsid w:val="6D7C6899"/>
    <w:rsid w:val="6D7F3841"/>
    <w:rsid w:val="6D9F1CAA"/>
    <w:rsid w:val="6DB5262A"/>
    <w:rsid w:val="6DCE404D"/>
    <w:rsid w:val="6DDB509A"/>
    <w:rsid w:val="6DE5269C"/>
    <w:rsid w:val="6DFB2E81"/>
    <w:rsid w:val="6DFF02DC"/>
    <w:rsid w:val="6E17178D"/>
    <w:rsid w:val="6E206122"/>
    <w:rsid w:val="6E3F254C"/>
    <w:rsid w:val="6E4572EA"/>
    <w:rsid w:val="6E58440B"/>
    <w:rsid w:val="6EA8298C"/>
    <w:rsid w:val="6EAC2320"/>
    <w:rsid w:val="6EAC2390"/>
    <w:rsid w:val="6EB52A01"/>
    <w:rsid w:val="6EBC80E1"/>
    <w:rsid w:val="6EBFC02F"/>
    <w:rsid w:val="6EDDA9A6"/>
    <w:rsid w:val="6EF24225"/>
    <w:rsid w:val="6EFB77A2"/>
    <w:rsid w:val="6EFE4C11"/>
    <w:rsid w:val="6EFFC226"/>
    <w:rsid w:val="6F1A62E7"/>
    <w:rsid w:val="6F3B79AF"/>
    <w:rsid w:val="6F4300B8"/>
    <w:rsid w:val="6F634847"/>
    <w:rsid w:val="6F687020"/>
    <w:rsid w:val="6F6AC18C"/>
    <w:rsid w:val="6F716BE5"/>
    <w:rsid w:val="6F7B6142"/>
    <w:rsid w:val="6F7EECE3"/>
    <w:rsid w:val="6F803D00"/>
    <w:rsid w:val="6FAF44D6"/>
    <w:rsid w:val="6FB6D31A"/>
    <w:rsid w:val="6FBBEA02"/>
    <w:rsid w:val="6FBE096F"/>
    <w:rsid w:val="6FBFB348"/>
    <w:rsid w:val="6FCC5B57"/>
    <w:rsid w:val="6FD2E360"/>
    <w:rsid w:val="6FDF2C1F"/>
    <w:rsid w:val="6FEE793D"/>
    <w:rsid w:val="6FEF133C"/>
    <w:rsid w:val="6FF455F0"/>
    <w:rsid w:val="6FFBE42D"/>
    <w:rsid w:val="6FFF2679"/>
    <w:rsid w:val="6FFFD208"/>
    <w:rsid w:val="702179AE"/>
    <w:rsid w:val="702C3B91"/>
    <w:rsid w:val="703F2410"/>
    <w:rsid w:val="705D5B42"/>
    <w:rsid w:val="70680A7D"/>
    <w:rsid w:val="706E5AD9"/>
    <w:rsid w:val="70867DDE"/>
    <w:rsid w:val="70975D6F"/>
    <w:rsid w:val="70CE4672"/>
    <w:rsid w:val="70E3796A"/>
    <w:rsid w:val="70FB2C85"/>
    <w:rsid w:val="70FB3C40"/>
    <w:rsid w:val="710C323E"/>
    <w:rsid w:val="713A57EB"/>
    <w:rsid w:val="71530033"/>
    <w:rsid w:val="7162044B"/>
    <w:rsid w:val="716C49AB"/>
    <w:rsid w:val="718C0ADB"/>
    <w:rsid w:val="719B7479"/>
    <w:rsid w:val="71B53E32"/>
    <w:rsid w:val="71FFD851"/>
    <w:rsid w:val="72306B72"/>
    <w:rsid w:val="72725620"/>
    <w:rsid w:val="72913E8D"/>
    <w:rsid w:val="729E076A"/>
    <w:rsid w:val="72D856CF"/>
    <w:rsid w:val="72DFD615"/>
    <w:rsid w:val="72FE0352"/>
    <w:rsid w:val="733E6F37"/>
    <w:rsid w:val="737BEA8D"/>
    <w:rsid w:val="737E70F0"/>
    <w:rsid w:val="737F4805"/>
    <w:rsid w:val="738BFA2F"/>
    <w:rsid w:val="738F0A73"/>
    <w:rsid w:val="73A758F0"/>
    <w:rsid w:val="73B77387"/>
    <w:rsid w:val="73CFDF21"/>
    <w:rsid w:val="73DE858D"/>
    <w:rsid w:val="73F26BC2"/>
    <w:rsid w:val="73FEC665"/>
    <w:rsid w:val="740611F7"/>
    <w:rsid w:val="742641C5"/>
    <w:rsid w:val="74424992"/>
    <w:rsid w:val="746F14EC"/>
    <w:rsid w:val="747A1760"/>
    <w:rsid w:val="747E4A4E"/>
    <w:rsid w:val="74B23C68"/>
    <w:rsid w:val="74B92922"/>
    <w:rsid w:val="74BFAFB4"/>
    <w:rsid w:val="74D7B76D"/>
    <w:rsid w:val="74EB4298"/>
    <w:rsid w:val="753543D2"/>
    <w:rsid w:val="753C2772"/>
    <w:rsid w:val="7561688A"/>
    <w:rsid w:val="756A6EB0"/>
    <w:rsid w:val="756C4DD4"/>
    <w:rsid w:val="75930905"/>
    <w:rsid w:val="75A7682A"/>
    <w:rsid w:val="75CB7E6B"/>
    <w:rsid w:val="75E369C0"/>
    <w:rsid w:val="75E55EC4"/>
    <w:rsid w:val="75FF850D"/>
    <w:rsid w:val="760C2932"/>
    <w:rsid w:val="762D1390"/>
    <w:rsid w:val="76563AAD"/>
    <w:rsid w:val="765F7BF7"/>
    <w:rsid w:val="767D2725"/>
    <w:rsid w:val="769A724D"/>
    <w:rsid w:val="76AB7A4A"/>
    <w:rsid w:val="76E70EE4"/>
    <w:rsid w:val="77171924"/>
    <w:rsid w:val="774C1B38"/>
    <w:rsid w:val="776F7901"/>
    <w:rsid w:val="7779CCA8"/>
    <w:rsid w:val="77B78C8F"/>
    <w:rsid w:val="77BF314F"/>
    <w:rsid w:val="77BF3A13"/>
    <w:rsid w:val="77BFA307"/>
    <w:rsid w:val="77E9DB79"/>
    <w:rsid w:val="77ECE7C1"/>
    <w:rsid w:val="77EFC9D9"/>
    <w:rsid w:val="77F7AD37"/>
    <w:rsid w:val="77F8A144"/>
    <w:rsid w:val="77FE098B"/>
    <w:rsid w:val="77FF6C67"/>
    <w:rsid w:val="77FF99A3"/>
    <w:rsid w:val="780723AC"/>
    <w:rsid w:val="781526DB"/>
    <w:rsid w:val="78201404"/>
    <w:rsid w:val="785A3734"/>
    <w:rsid w:val="789347F1"/>
    <w:rsid w:val="78A911E7"/>
    <w:rsid w:val="78EFC9F1"/>
    <w:rsid w:val="78F563D4"/>
    <w:rsid w:val="78FB11C4"/>
    <w:rsid w:val="78FE116A"/>
    <w:rsid w:val="79182D2D"/>
    <w:rsid w:val="7922510A"/>
    <w:rsid w:val="792806AB"/>
    <w:rsid w:val="793556A9"/>
    <w:rsid w:val="793FEEC3"/>
    <w:rsid w:val="79426D36"/>
    <w:rsid w:val="794270B9"/>
    <w:rsid w:val="794A38A0"/>
    <w:rsid w:val="7956730D"/>
    <w:rsid w:val="79744E7F"/>
    <w:rsid w:val="797FC289"/>
    <w:rsid w:val="798F0817"/>
    <w:rsid w:val="79A0FCE8"/>
    <w:rsid w:val="79A66C75"/>
    <w:rsid w:val="79A95B97"/>
    <w:rsid w:val="79AB1804"/>
    <w:rsid w:val="79B370F5"/>
    <w:rsid w:val="79C13BF1"/>
    <w:rsid w:val="79DF7FB1"/>
    <w:rsid w:val="79EA1096"/>
    <w:rsid w:val="79F31AF2"/>
    <w:rsid w:val="79FF162F"/>
    <w:rsid w:val="7A2B349E"/>
    <w:rsid w:val="7A5772D3"/>
    <w:rsid w:val="7A5F15D0"/>
    <w:rsid w:val="7A6F456D"/>
    <w:rsid w:val="7A760B7C"/>
    <w:rsid w:val="7A83698A"/>
    <w:rsid w:val="7A915CF0"/>
    <w:rsid w:val="7AA46C76"/>
    <w:rsid w:val="7AAD5C5D"/>
    <w:rsid w:val="7ABE7D43"/>
    <w:rsid w:val="7ABFB409"/>
    <w:rsid w:val="7ADD2AB5"/>
    <w:rsid w:val="7ADF4B85"/>
    <w:rsid w:val="7AE14027"/>
    <w:rsid w:val="7AFFCA95"/>
    <w:rsid w:val="7AFFE153"/>
    <w:rsid w:val="7B05179D"/>
    <w:rsid w:val="7B2771C6"/>
    <w:rsid w:val="7B3A31AE"/>
    <w:rsid w:val="7B4C3790"/>
    <w:rsid w:val="7B5F138A"/>
    <w:rsid w:val="7B5F768F"/>
    <w:rsid w:val="7B6F49FE"/>
    <w:rsid w:val="7B7FDF0D"/>
    <w:rsid w:val="7B9023D5"/>
    <w:rsid w:val="7B99740A"/>
    <w:rsid w:val="7BC926DB"/>
    <w:rsid w:val="7BCDCB79"/>
    <w:rsid w:val="7BCFDAEE"/>
    <w:rsid w:val="7BD74383"/>
    <w:rsid w:val="7BEDBA61"/>
    <w:rsid w:val="7BEF3212"/>
    <w:rsid w:val="7BEF3D51"/>
    <w:rsid w:val="7BF79663"/>
    <w:rsid w:val="7BF7FAFB"/>
    <w:rsid w:val="7BF98AC6"/>
    <w:rsid w:val="7BFAF669"/>
    <w:rsid w:val="7BFE1A8A"/>
    <w:rsid w:val="7BFF645B"/>
    <w:rsid w:val="7C0C1FA3"/>
    <w:rsid w:val="7C5B7C89"/>
    <w:rsid w:val="7C7667AF"/>
    <w:rsid w:val="7C7DB7CA"/>
    <w:rsid w:val="7C7F1231"/>
    <w:rsid w:val="7CB7470E"/>
    <w:rsid w:val="7CC15259"/>
    <w:rsid w:val="7CD03D56"/>
    <w:rsid w:val="7CEC3140"/>
    <w:rsid w:val="7CF369DE"/>
    <w:rsid w:val="7CF472F1"/>
    <w:rsid w:val="7CF6C58A"/>
    <w:rsid w:val="7CFDC717"/>
    <w:rsid w:val="7D1918D3"/>
    <w:rsid w:val="7D1A19C6"/>
    <w:rsid w:val="7D1B2802"/>
    <w:rsid w:val="7D231DD8"/>
    <w:rsid w:val="7D233ECD"/>
    <w:rsid w:val="7D2F6B5F"/>
    <w:rsid w:val="7D5B2C9E"/>
    <w:rsid w:val="7D6A532B"/>
    <w:rsid w:val="7D6BE061"/>
    <w:rsid w:val="7D7D954C"/>
    <w:rsid w:val="7D7DB573"/>
    <w:rsid w:val="7D7FDAFF"/>
    <w:rsid w:val="7D880CCE"/>
    <w:rsid w:val="7D8E1DAB"/>
    <w:rsid w:val="7DAB9907"/>
    <w:rsid w:val="7DB53AFB"/>
    <w:rsid w:val="7DBB2B40"/>
    <w:rsid w:val="7DCD64BE"/>
    <w:rsid w:val="7DCFABE0"/>
    <w:rsid w:val="7DD01062"/>
    <w:rsid w:val="7DD2C8B0"/>
    <w:rsid w:val="7DDDB921"/>
    <w:rsid w:val="7DF36ACA"/>
    <w:rsid w:val="7DFAF058"/>
    <w:rsid w:val="7DFF322F"/>
    <w:rsid w:val="7DFF56EA"/>
    <w:rsid w:val="7E0612DA"/>
    <w:rsid w:val="7E166171"/>
    <w:rsid w:val="7E476D21"/>
    <w:rsid w:val="7E4862FD"/>
    <w:rsid w:val="7E5F25C0"/>
    <w:rsid w:val="7E7F55E2"/>
    <w:rsid w:val="7E840717"/>
    <w:rsid w:val="7E9210CB"/>
    <w:rsid w:val="7EAC6F67"/>
    <w:rsid w:val="7EB6F686"/>
    <w:rsid w:val="7EC4011B"/>
    <w:rsid w:val="7ECFA459"/>
    <w:rsid w:val="7ED808CC"/>
    <w:rsid w:val="7ED913A0"/>
    <w:rsid w:val="7EDB69F2"/>
    <w:rsid w:val="7EDC1E1D"/>
    <w:rsid w:val="7EDC2583"/>
    <w:rsid w:val="7EDD2BE0"/>
    <w:rsid w:val="7EDD4EE9"/>
    <w:rsid w:val="7EDE6D9C"/>
    <w:rsid w:val="7EDF7AF7"/>
    <w:rsid w:val="7EE71339"/>
    <w:rsid w:val="7EF5CF47"/>
    <w:rsid w:val="7EFE992F"/>
    <w:rsid w:val="7EFF78CA"/>
    <w:rsid w:val="7F0A5149"/>
    <w:rsid w:val="7F0CB97E"/>
    <w:rsid w:val="7F0D5F9F"/>
    <w:rsid w:val="7F195756"/>
    <w:rsid w:val="7F292728"/>
    <w:rsid w:val="7F336D49"/>
    <w:rsid w:val="7F3B2F82"/>
    <w:rsid w:val="7F3C72BA"/>
    <w:rsid w:val="7F3F9C18"/>
    <w:rsid w:val="7F440145"/>
    <w:rsid w:val="7F474E7B"/>
    <w:rsid w:val="7F5320BB"/>
    <w:rsid w:val="7F5FA9F3"/>
    <w:rsid w:val="7F6E93DB"/>
    <w:rsid w:val="7F7253B6"/>
    <w:rsid w:val="7F7B7347"/>
    <w:rsid w:val="7F7C4458"/>
    <w:rsid w:val="7F7DBFCC"/>
    <w:rsid w:val="7F7F7BFC"/>
    <w:rsid w:val="7F923139"/>
    <w:rsid w:val="7FB34AD5"/>
    <w:rsid w:val="7FB703C1"/>
    <w:rsid w:val="7FB81F82"/>
    <w:rsid w:val="7FBB2ED2"/>
    <w:rsid w:val="7FBCE55F"/>
    <w:rsid w:val="7FBDBA78"/>
    <w:rsid w:val="7FBFFC93"/>
    <w:rsid w:val="7FC615F6"/>
    <w:rsid w:val="7FC9E442"/>
    <w:rsid w:val="7FCF59BD"/>
    <w:rsid w:val="7FCFAFB2"/>
    <w:rsid w:val="7FD66CCC"/>
    <w:rsid w:val="7FD87223"/>
    <w:rsid w:val="7FDB31E5"/>
    <w:rsid w:val="7FDB5393"/>
    <w:rsid w:val="7FDC7FB5"/>
    <w:rsid w:val="7FDD61D0"/>
    <w:rsid w:val="7FDF3742"/>
    <w:rsid w:val="7FDFCDD9"/>
    <w:rsid w:val="7FDFEBC4"/>
    <w:rsid w:val="7FE14EC1"/>
    <w:rsid w:val="7FE772CD"/>
    <w:rsid w:val="7FE7EAA8"/>
    <w:rsid w:val="7FEEBBFB"/>
    <w:rsid w:val="7FEF1FA0"/>
    <w:rsid w:val="7FEF904E"/>
    <w:rsid w:val="7FEFDDB7"/>
    <w:rsid w:val="7FEFE4E5"/>
    <w:rsid w:val="7FF11FBB"/>
    <w:rsid w:val="7FF799DD"/>
    <w:rsid w:val="7FFB75F3"/>
    <w:rsid w:val="7FFC5E96"/>
    <w:rsid w:val="7FFE5A5A"/>
    <w:rsid w:val="7FFEF592"/>
    <w:rsid w:val="7FFF9D0F"/>
    <w:rsid w:val="7FFF9F54"/>
    <w:rsid w:val="7FFFAC40"/>
    <w:rsid w:val="7FFFF9C2"/>
    <w:rsid w:val="7FFFFBDE"/>
    <w:rsid w:val="85E98B27"/>
    <w:rsid w:val="8B3FF576"/>
    <w:rsid w:val="8B5A4905"/>
    <w:rsid w:val="8BDFCAEC"/>
    <w:rsid w:val="8FEB64C9"/>
    <w:rsid w:val="8FFC7522"/>
    <w:rsid w:val="94D6CCC0"/>
    <w:rsid w:val="977B3254"/>
    <w:rsid w:val="977D89F3"/>
    <w:rsid w:val="97E5186A"/>
    <w:rsid w:val="98DFF712"/>
    <w:rsid w:val="99375B82"/>
    <w:rsid w:val="9B0DE2C8"/>
    <w:rsid w:val="9B771EBA"/>
    <w:rsid w:val="9BDEA5FF"/>
    <w:rsid w:val="9BFF6126"/>
    <w:rsid w:val="9C5EB15D"/>
    <w:rsid w:val="9DFF2161"/>
    <w:rsid w:val="9F4E1979"/>
    <w:rsid w:val="9F6DFEE0"/>
    <w:rsid w:val="9FCF1E2F"/>
    <w:rsid w:val="9FDA4D63"/>
    <w:rsid w:val="9FEA2A57"/>
    <w:rsid w:val="9FEF1071"/>
    <w:rsid w:val="A4A73498"/>
    <w:rsid w:val="A74B5C66"/>
    <w:rsid w:val="A7D7A453"/>
    <w:rsid w:val="AA778859"/>
    <w:rsid w:val="ABFDE269"/>
    <w:rsid w:val="ACDB0A07"/>
    <w:rsid w:val="ADED1337"/>
    <w:rsid w:val="ADFFA8FC"/>
    <w:rsid w:val="AF5E3CFF"/>
    <w:rsid w:val="AFBDB550"/>
    <w:rsid w:val="AFF9CD3D"/>
    <w:rsid w:val="AFFBAF95"/>
    <w:rsid w:val="AFFE8B8B"/>
    <w:rsid w:val="AFFF714E"/>
    <w:rsid w:val="AFFFF4E9"/>
    <w:rsid w:val="B0FF5AA6"/>
    <w:rsid w:val="B2678BC1"/>
    <w:rsid w:val="B2FF90E7"/>
    <w:rsid w:val="B38D9FEA"/>
    <w:rsid w:val="B3E73701"/>
    <w:rsid w:val="B3FEBD5D"/>
    <w:rsid w:val="B4FF5919"/>
    <w:rsid w:val="B5DF4235"/>
    <w:rsid w:val="B5F787AC"/>
    <w:rsid w:val="B6BF58B7"/>
    <w:rsid w:val="B6FD0B1D"/>
    <w:rsid w:val="B73605F3"/>
    <w:rsid w:val="B77BB04B"/>
    <w:rsid w:val="B7B678CE"/>
    <w:rsid w:val="B7D5D50F"/>
    <w:rsid w:val="B7F999F1"/>
    <w:rsid w:val="B924FAA5"/>
    <w:rsid w:val="B97B6038"/>
    <w:rsid w:val="B9BA4843"/>
    <w:rsid w:val="B9CBC431"/>
    <w:rsid w:val="B9F9EE8B"/>
    <w:rsid w:val="B9FF301D"/>
    <w:rsid w:val="B9FFA4A9"/>
    <w:rsid w:val="BB4CED5B"/>
    <w:rsid w:val="BBBF21D0"/>
    <w:rsid w:val="BBBF3AA3"/>
    <w:rsid w:val="BBF9A7E3"/>
    <w:rsid w:val="BBFB8992"/>
    <w:rsid w:val="BBFC82B2"/>
    <w:rsid w:val="BBFDCBB8"/>
    <w:rsid w:val="BBFF6E95"/>
    <w:rsid w:val="BBFFEDC0"/>
    <w:rsid w:val="BCB32D1F"/>
    <w:rsid w:val="BD5F60BB"/>
    <w:rsid w:val="BD6E292A"/>
    <w:rsid w:val="BD746CF9"/>
    <w:rsid w:val="BDBB0964"/>
    <w:rsid w:val="BDBEE050"/>
    <w:rsid w:val="BDDECA22"/>
    <w:rsid w:val="BDF3E5B0"/>
    <w:rsid w:val="BDFAB134"/>
    <w:rsid w:val="BDFDED86"/>
    <w:rsid w:val="BEAFFA42"/>
    <w:rsid w:val="BEDF380D"/>
    <w:rsid w:val="BEEBCCAB"/>
    <w:rsid w:val="BEF72390"/>
    <w:rsid w:val="BEFF32E9"/>
    <w:rsid w:val="BF2E918E"/>
    <w:rsid w:val="BF5B67B5"/>
    <w:rsid w:val="BF5DE74C"/>
    <w:rsid w:val="BF7FECDD"/>
    <w:rsid w:val="BFC6F731"/>
    <w:rsid w:val="BFD3E657"/>
    <w:rsid w:val="BFD7E730"/>
    <w:rsid w:val="BFDEFB7D"/>
    <w:rsid w:val="BFE60B20"/>
    <w:rsid w:val="BFEA191B"/>
    <w:rsid w:val="BFEB3774"/>
    <w:rsid w:val="BFEB6D36"/>
    <w:rsid w:val="BFF261FB"/>
    <w:rsid w:val="BFFD1566"/>
    <w:rsid w:val="C5CD74F7"/>
    <w:rsid w:val="C76F03AE"/>
    <w:rsid w:val="C7EDA126"/>
    <w:rsid w:val="C96E0F0C"/>
    <w:rsid w:val="CC9B8D3E"/>
    <w:rsid w:val="CDFD81ED"/>
    <w:rsid w:val="CE7FB376"/>
    <w:rsid w:val="CE853DE3"/>
    <w:rsid w:val="CE97C815"/>
    <w:rsid w:val="CF67DC1C"/>
    <w:rsid w:val="CF7F7143"/>
    <w:rsid w:val="CFB7E9FE"/>
    <w:rsid w:val="CFD3A2B4"/>
    <w:rsid w:val="CFDD5F48"/>
    <w:rsid w:val="CFDF1ED5"/>
    <w:rsid w:val="CFF2E961"/>
    <w:rsid w:val="CFFB57F8"/>
    <w:rsid w:val="CFFC21B5"/>
    <w:rsid w:val="CFFFC06D"/>
    <w:rsid w:val="D2799367"/>
    <w:rsid w:val="D5350838"/>
    <w:rsid w:val="D5F8434D"/>
    <w:rsid w:val="D6DBC273"/>
    <w:rsid w:val="D6E78D9A"/>
    <w:rsid w:val="D73DFE3D"/>
    <w:rsid w:val="D77FD5DA"/>
    <w:rsid w:val="D7F36A41"/>
    <w:rsid w:val="D7FB59A4"/>
    <w:rsid w:val="D7FDDD47"/>
    <w:rsid w:val="D7FFF3C8"/>
    <w:rsid w:val="D86D3D9F"/>
    <w:rsid w:val="D8FCE4D2"/>
    <w:rsid w:val="D91F51BF"/>
    <w:rsid w:val="D9AD374F"/>
    <w:rsid w:val="D9B7F186"/>
    <w:rsid w:val="D9BF180D"/>
    <w:rsid w:val="D9C37A48"/>
    <w:rsid w:val="D9D775FA"/>
    <w:rsid w:val="D9DD7C65"/>
    <w:rsid w:val="D9FE38D7"/>
    <w:rsid w:val="D9FF8100"/>
    <w:rsid w:val="DA77D1B5"/>
    <w:rsid w:val="DACDFA46"/>
    <w:rsid w:val="DB3E76A4"/>
    <w:rsid w:val="DB8F2073"/>
    <w:rsid w:val="DBBFC82C"/>
    <w:rsid w:val="DBEB26D6"/>
    <w:rsid w:val="DBEFCE2D"/>
    <w:rsid w:val="DBF552F6"/>
    <w:rsid w:val="DBF79F8B"/>
    <w:rsid w:val="DBFF662E"/>
    <w:rsid w:val="DBFF7809"/>
    <w:rsid w:val="DBFFA664"/>
    <w:rsid w:val="DCC6C8FB"/>
    <w:rsid w:val="DD2F1547"/>
    <w:rsid w:val="DD3F72EC"/>
    <w:rsid w:val="DD4A4B06"/>
    <w:rsid w:val="DDBE8866"/>
    <w:rsid w:val="DDEF14F0"/>
    <w:rsid w:val="DDFF0FE6"/>
    <w:rsid w:val="DE3D1837"/>
    <w:rsid w:val="DE7B4845"/>
    <w:rsid w:val="DEDF795F"/>
    <w:rsid w:val="DEE44F39"/>
    <w:rsid w:val="DEEC7E8F"/>
    <w:rsid w:val="DEFAC19D"/>
    <w:rsid w:val="DF3C9745"/>
    <w:rsid w:val="DF571667"/>
    <w:rsid w:val="DF737A59"/>
    <w:rsid w:val="DF7EBA09"/>
    <w:rsid w:val="DFD63828"/>
    <w:rsid w:val="DFDF0C4F"/>
    <w:rsid w:val="DFE7F6C1"/>
    <w:rsid w:val="DFEF47AD"/>
    <w:rsid w:val="DFEF77F7"/>
    <w:rsid w:val="DFEFD853"/>
    <w:rsid w:val="DFFB7CA3"/>
    <w:rsid w:val="DFFF6E23"/>
    <w:rsid w:val="E205A27C"/>
    <w:rsid w:val="E3DFBA01"/>
    <w:rsid w:val="E3FF83BD"/>
    <w:rsid w:val="E53EB9BE"/>
    <w:rsid w:val="E5BB8DAB"/>
    <w:rsid w:val="E5FF0AF8"/>
    <w:rsid w:val="E6EF205A"/>
    <w:rsid w:val="E6F40CB7"/>
    <w:rsid w:val="E73FDEAC"/>
    <w:rsid w:val="E79C08EB"/>
    <w:rsid w:val="E7D33326"/>
    <w:rsid w:val="E7DD6F11"/>
    <w:rsid w:val="E7FE91C4"/>
    <w:rsid w:val="E7FFC98E"/>
    <w:rsid w:val="EA199D2E"/>
    <w:rsid w:val="EAF57E77"/>
    <w:rsid w:val="EBBF2313"/>
    <w:rsid w:val="EBDBA0EA"/>
    <w:rsid w:val="EBDDF1B2"/>
    <w:rsid w:val="EBFF47AE"/>
    <w:rsid w:val="EDAC0A50"/>
    <w:rsid w:val="EDC7C42C"/>
    <w:rsid w:val="EDDE578C"/>
    <w:rsid w:val="EDF7A798"/>
    <w:rsid w:val="EDF7B5A4"/>
    <w:rsid w:val="EE781A49"/>
    <w:rsid w:val="EE7B73E3"/>
    <w:rsid w:val="EEBDC857"/>
    <w:rsid w:val="EEE22954"/>
    <w:rsid w:val="EEE3EEB0"/>
    <w:rsid w:val="EEFFF1A6"/>
    <w:rsid w:val="EF5C06EB"/>
    <w:rsid w:val="EF6B375D"/>
    <w:rsid w:val="EF7B3131"/>
    <w:rsid w:val="EFB72A13"/>
    <w:rsid w:val="EFBAEC78"/>
    <w:rsid w:val="EFBD544A"/>
    <w:rsid w:val="EFBF95AD"/>
    <w:rsid w:val="EFC5BD5E"/>
    <w:rsid w:val="EFDE6E1C"/>
    <w:rsid w:val="EFF0AC90"/>
    <w:rsid w:val="EFF5639B"/>
    <w:rsid w:val="EFF911A0"/>
    <w:rsid w:val="EFFB861C"/>
    <w:rsid w:val="EFFE26D4"/>
    <w:rsid w:val="EFFEB5BF"/>
    <w:rsid w:val="EFFF648D"/>
    <w:rsid w:val="EFFFDE93"/>
    <w:rsid w:val="F0AE1E4F"/>
    <w:rsid w:val="F1763419"/>
    <w:rsid w:val="F1777438"/>
    <w:rsid w:val="F1FDB58A"/>
    <w:rsid w:val="F390545E"/>
    <w:rsid w:val="F3FA6AFD"/>
    <w:rsid w:val="F3FB774F"/>
    <w:rsid w:val="F3FFE862"/>
    <w:rsid w:val="F4FF4228"/>
    <w:rsid w:val="F53A543F"/>
    <w:rsid w:val="F57D08D5"/>
    <w:rsid w:val="F5BF3D3C"/>
    <w:rsid w:val="F5FED572"/>
    <w:rsid w:val="F5FF5646"/>
    <w:rsid w:val="F64B893B"/>
    <w:rsid w:val="F6EA3E76"/>
    <w:rsid w:val="F7270D2C"/>
    <w:rsid w:val="F72FC9BA"/>
    <w:rsid w:val="F74F05B2"/>
    <w:rsid w:val="F7575590"/>
    <w:rsid w:val="F76E4D5A"/>
    <w:rsid w:val="F77CF8B6"/>
    <w:rsid w:val="F77FA4B7"/>
    <w:rsid w:val="F7AB37BF"/>
    <w:rsid w:val="F7BD6DF2"/>
    <w:rsid w:val="F7BDF83C"/>
    <w:rsid w:val="F7BF8F33"/>
    <w:rsid w:val="F7DF0353"/>
    <w:rsid w:val="F7EA8ED4"/>
    <w:rsid w:val="F7EE77B8"/>
    <w:rsid w:val="F7FB136A"/>
    <w:rsid w:val="F7FD4843"/>
    <w:rsid w:val="F7FF6F86"/>
    <w:rsid w:val="F7FF9E4A"/>
    <w:rsid w:val="F7FFA1E4"/>
    <w:rsid w:val="F87FC8DD"/>
    <w:rsid w:val="F9A7061A"/>
    <w:rsid w:val="F9D79A2D"/>
    <w:rsid w:val="F9DFA07B"/>
    <w:rsid w:val="F9E74BA8"/>
    <w:rsid w:val="F9ECAB9B"/>
    <w:rsid w:val="F9F7F686"/>
    <w:rsid w:val="F9FF22BE"/>
    <w:rsid w:val="FA2B1206"/>
    <w:rsid w:val="FA7F30BE"/>
    <w:rsid w:val="FA8794C0"/>
    <w:rsid w:val="FA9D694C"/>
    <w:rsid w:val="FAE64A81"/>
    <w:rsid w:val="FAF35FDA"/>
    <w:rsid w:val="FAF5BBFA"/>
    <w:rsid w:val="FAFDC58A"/>
    <w:rsid w:val="FAFFFA3D"/>
    <w:rsid w:val="FB1B9001"/>
    <w:rsid w:val="FB562132"/>
    <w:rsid w:val="FB7D0B2C"/>
    <w:rsid w:val="FBBF2546"/>
    <w:rsid w:val="FBCFE8C8"/>
    <w:rsid w:val="FBD78E8F"/>
    <w:rsid w:val="FBE374B5"/>
    <w:rsid w:val="FBE3CD04"/>
    <w:rsid w:val="FBE7DEF9"/>
    <w:rsid w:val="FBEE6258"/>
    <w:rsid w:val="FBFA7AF3"/>
    <w:rsid w:val="FBFB38A2"/>
    <w:rsid w:val="FBFB616D"/>
    <w:rsid w:val="FBFF835C"/>
    <w:rsid w:val="FC6F73AE"/>
    <w:rsid w:val="FC7D1A9B"/>
    <w:rsid w:val="FCF5C6B5"/>
    <w:rsid w:val="FCF7555A"/>
    <w:rsid w:val="FCFF9BC7"/>
    <w:rsid w:val="FD2A7726"/>
    <w:rsid w:val="FD57C9BD"/>
    <w:rsid w:val="FD6E063B"/>
    <w:rsid w:val="FD75F731"/>
    <w:rsid w:val="FDB7F75C"/>
    <w:rsid w:val="FDBBB7A4"/>
    <w:rsid w:val="FDBBF02D"/>
    <w:rsid w:val="FDD569DC"/>
    <w:rsid w:val="FDF7E4DA"/>
    <w:rsid w:val="FDFB18F2"/>
    <w:rsid w:val="FDFD7C30"/>
    <w:rsid w:val="FDFF616C"/>
    <w:rsid w:val="FE6B889A"/>
    <w:rsid w:val="FE7C6E45"/>
    <w:rsid w:val="FE7ECB39"/>
    <w:rsid w:val="FE7F936B"/>
    <w:rsid w:val="FE7FAC98"/>
    <w:rsid w:val="FE9778C8"/>
    <w:rsid w:val="FE986C63"/>
    <w:rsid w:val="FEBBDE44"/>
    <w:rsid w:val="FEBF0FC8"/>
    <w:rsid w:val="FEBF22B1"/>
    <w:rsid w:val="FEBF9EDC"/>
    <w:rsid w:val="FEBFF157"/>
    <w:rsid w:val="FEBFFA2C"/>
    <w:rsid w:val="FED75433"/>
    <w:rsid w:val="FEDD0B5F"/>
    <w:rsid w:val="FEECD204"/>
    <w:rsid w:val="FEF789E5"/>
    <w:rsid w:val="FEFFDFC8"/>
    <w:rsid w:val="FF178D6C"/>
    <w:rsid w:val="FF552716"/>
    <w:rsid w:val="FF56634B"/>
    <w:rsid w:val="FF5E5077"/>
    <w:rsid w:val="FF6B0521"/>
    <w:rsid w:val="FF6F13CC"/>
    <w:rsid w:val="FF6F366C"/>
    <w:rsid w:val="FF763094"/>
    <w:rsid w:val="FF77DD4B"/>
    <w:rsid w:val="FF7B21FB"/>
    <w:rsid w:val="FF7B3910"/>
    <w:rsid w:val="FF7C10F1"/>
    <w:rsid w:val="FF7D58E4"/>
    <w:rsid w:val="FF7EC115"/>
    <w:rsid w:val="FF7FB1EA"/>
    <w:rsid w:val="FF8DDCAC"/>
    <w:rsid w:val="FF907508"/>
    <w:rsid w:val="FF9308D0"/>
    <w:rsid w:val="FFADC9E4"/>
    <w:rsid w:val="FFAFA48E"/>
    <w:rsid w:val="FFB77BCC"/>
    <w:rsid w:val="FFBC8130"/>
    <w:rsid w:val="FFBF31F0"/>
    <w:rsid w:val="FFBFAF4D"/>
    <w:rsid w:val="FFCF257E"/>
    <w:rsid w:val="FFCFEE2B"/>
    <w:rsid w:val="FFDB13D3"/>
    <w:rsid w:val="FFDE5B91"/>
    <w:rsid w:val="FFDEC932"/>
    <w:rsid w:val="FFE2FC10"/>
    <w:rsid w:val="FFE3B099"/>
    <w:rsid w:val="FFE6BDA4"/>
    <w:rsid w:val="FFEB943E"/>
    <w:rsid w:val="FFEB9982"/>
    <w:rsid w:val="FFEBE131"/>
    <w:rsid w:val="FFEC1B0B"/>
    <w:rsid w:val="FFED55F7"/>
    <w:rsid w:val="FFEED26C"/>
    <w:rsid w:val="FFEF8576"/>
    <w:rsid w:val="FFF50D59"/>
    <w:rsid w:val="FFF69EE5"/>
    <w:rsid w:val="FFF7E9A8"/>
    <w:rsid w:val="FFF9CEA4"/>
    <w:rsid w:val="FFFB79ED"/>
    <w:rsid w:val="FFFD402D"/>
    <w:rsid w:val="FFFD619C"/>
    <w:rsid w:val="FFFD965A"/>
    <w:rsid w:val="FFFDCCD8"/>
    <w:rsid w:val="FFFDDD1D"/>
    <w:rsid w:val="FFFE1C01"/>
    <w:rsid w:val="FFFE86AF"/>
    <w:rsid w:val="FFFE9B55"/>
    <w:rsid w:val="FFFED48B"/>
    <w:rsid w:val="FFFF02E7"/>
    <w:rsid w:val="FFFF0E91"/>
    <w:rsid w:val="FFFF25B3"/>
    <w:rsid w:val="FFFF3054"/>
    <w:rsid w:val="FFFF8967"/>
    <w:rsid w:val="FFFFBE96"/>
    <w:rsid w:val="FFFFD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styleId="8">
    <w:name w:val="Hyperlink"/>
    <w:basedOn w:val="6"/>
    <w:semiHidden/>
    <w:unhideWhenUsed/>
    <w:qFormat/>
    <w:uiPriority w:val="99"/>
    <w:rPr>
      <w:color w:val="0000FF"/>
      <w:u w:val="single"/>
    </w:rPr>
  </w:style>
  <w:style w:type="character" w:customStyle="1" w:styleId="9">
    <w:name w:val="页眉 Char"/>
    <w:basedOn w:val="6"/>
    <w:link w:val="3"/>
    <w:qFormat/>
    <w:uiPriority w:val="99"/>
    <w:rPr>
      <w:rFonts w:ascii="Times New Roman" w:hAnsi="Times New Roman" w:eastAsia="宋体" w:cs="Times New Roman"/>
      <w:sz w:val="18"/>
      <w:szCs w:val="18"/>
    </w:rPr>
  </w:style>
  <w:style w:type="character" w:customStyle="1" w:styleId="10">
    <w:name w:val="页脚 Char"/>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41</Pages>
  <Words>10103</Words>
  <Characters>57591</Characters>
  <Lines>479</Lines>
  <Paragraphs>135</Paragraphs>
  <TotalTime>2</TotalTime>
  <ScaleCrop>false</ScaleCrop>
  <LinksUpToDate>false</LinksUpToDate>
  <CharactersWithSpaces>67559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2022-02-11T11:03:00Z</dcterms:created>
  <dc:creator>Lenovo</dc:creator>
  <cp:lastModifiedBy>工业和信息化局</cp:lastModifiedBy>
  <cp:lastPrinted>2022-12-07T08:24:00Z</cp:lastPrinted>
  <dcterms:modified xsi:type="dcterms:W3CDTF">2023-09-26T08:25:07Z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676DEFA50C3D4FD48D93A18971A8D735</vt:lpwstr>
  </property>
</Properties>
</file>