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FF097">
      <w:pPr>
        <w:adjustRightInd w:val="0"/>
        <w:snapToGrid w:val="0"/>
        <w:spacing w:line="570" w:lineRule="exact"/>
        <w:outlineLvl w:val="0"/>
        <w:rPr>
          <w:rFonts w:hint="eastAsia" w:eastAsia="黑体" w:cs="黑体"/>
          <w:snapToGrid w:val="0"/>
          <w:sz w:val="32"/>
          <w:szCs w:val="32"/>
          <w:highlight w:val="none"/>
        </w:rPr>
      </w:pPr>
      <w:r>
        <w:rPr>
          <w:rFonts w:hint="eastAsia" w:eastAsia="黑体" w:cs="黑体"/>
          <w:snapToGrid w:val="0"/>
          <w:sz w:val="32"/>
          <w:szCs w:val="32"/>
          <w:highlight w:val="none"/>
        </w:rPr>
        <w:t>附件</w:t>
      </w:r>
    </w:p>
    <w:p w14:paraId="2C9D952D">
      <w:pPr>
        <w:adjustRightInd w:val="0"/>
        <w:snapToGrid w:val="0"/>
        <w:spacing w:line="570" w:lineRule="exact"/>
        <w:jc w:val="center"/>
        <w:outlineLvl w:val="0"/>
        <w:rPr>
          <w:rFonts w:hint="eastAsia" w:ascii="方正小标宋简体" w:hAnsi="方正小标宋简体" w:eastAsia="方正小标宋简体" w:cs="方正小标宋简体"/>
          <w:snapToGrid w:val="0"/>
          <w:sz w:val="44"/>
          <w:szCs w:val="44"/>
          <w:highlight w:val="none"/>
          <w:lang w:eastAsia="zh-CN"/>
        </w:rPr>
      </w:pPr>
      <w:r>
        <w:rPr>
          <w:rFonts w:hint="eastAsia" w:ascii="方正小标宋简体" w:hAnsi="方正小标宋简体" w:eastAsia="方正小标宋简体" w:cs="方正小标宋简体"/>
          <w:snapToGrid w:val="0"/>
          <w:sz w:val="44"/>
          <w:szCs w:val="44"/>
          <w:highlight w:val="none"/>
          <w:lang w:eastAsia="zh-CN"/>
        </w:rPr>
        <w:t>柳州市城中区人力资源和社会保障局权责清单（</w:t>
      </w:r>
      <w:r>
        <w:rPr>
          <w:rFonts w:hint="eastAsia" w:ascii="方正小标宋简体" w:hAnsi="方正小标宋简体" w:eastAsia="方正小标宋简体" w:cs="方正小标宋简体"/>
          <w:snapToGrid w:val="0"/>
          <w:sz w:val="44"/>
          <w:szCs w:val="44"/>
          <w:highlight w:val="none"/>
          <w:lang w:val="en-US" w:eastAsia="zh-CN"/>
        </w:rPr>
        <w:t>2023版</w:t>
      </w:r>
      <w:r>
        <w:rPr>
          <w:rFonts w:hint="eastAsia" w:ascii="方正小标宋简体" w:hAnsi="方正小标宋简体" w:eastAsia="方正小标宋简体" w:cs="方正小标宋简体"/>
          <w:snapToGrid w:val="0"/>
          <w:sz w:val="44"/>
          <w:szCs w:val="44"/>
          <w:highlight w:val="none"/>
          <w:lang w:eastAsia="zh-CN"/>
        </w:rPr>
        <w:t>）</w:t>
      </w:r>
    </w:p>
    <w:tbl>
      <w:tblPr>
        <w:tblStyle w:val="11"/>
        <w:tblpPr w:leftFromText="180" w:rightFromText="180" w:vertAnchor="text" w:horzAnchor="page" w:tblpX="2055" w:tblpY="2392"/>
        <w:tblOverlap w:val="never"/>
        <w:tblW w:w="200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28" w:type="dxa"/>
          <w:left w:w="28" w:type="dxa"/>
          <w:bottom w:w="28" w:type="dxa"/>
          <w:right w:w="28" w:type="dxa"/>
        </w:tblCellMar>
      </w:tblPr>
      <w:tblGrid>
        <w:gridCol w:w="716"/>
        <w:gridCol w:w="1060"/>
        <w:gridCol w:w="572"/>
        <w:gridCol w:w="685"/>
        <w:gridCol w:w="805"/>
        <w:gridCol w:w="20"/>
        <w:gridCol w:w="885"/>
        <w:gridCol w:w="1317"/>
        <w:gridCol w:w="2698"/>
        <w:gridCol w:w="5244"/>
        <w:gridCol w:w="1942"/>
        <w:gridCol w:w="1942"/>
        <w:gridCol w:w="2130"/>
      </w:tblGrid>
      <w:tr w14:paraId="551FF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blHeader/>
          <w:jc w:val="center"/>
        </w:trPr>
        <w:tc>
          <w:tcPr>
            <w:tcW w:w="716" w:type="dxa"/>
            <w:vMerge w:val="restart"/>
            <w:tcBorders>
              <w:top w:val="single" w:color="auto" w:sz="4" w:space="0"/>
              <w:left w:val="single" w:color="auto" w:sz="4" w:space="0"/>
              <w:bottom w:val="single" w:color="auto" w:sz="4" w:space="0"/>
              <w:right w:val="single" w:color="auto" w:sz="4" w:space="0"/>
            </w:tcBorders>
            <w:vAlign w:val="center"/>
          </w:tcPr>
          <w:p w14:paraId="7526B522">
            <w:pPr>
              <w:widowControl/>
              <w:adjustRightInd w:val="0"/>
              <w:snapToGrid w:val="0"/>
              <w:spacing w:line="299" w:lineRule="exact"/>
              <w:jc w:val="center"/>
              <w:rPr>
                <w:rFonts w:eastAsia="黑体" w:cs="黑体"/>
                <w:snapToGrid w:val="0"/>
                <w:sz w:val="20"/>
                <w:szCs w:val="20"/>
                <w:highlight w:val="none"/>
              </w:rPr>
            </w:pPr>
            <w:bookmarkStart w:id="0" w:name="_Toc89999799"/>
            <w:r>
              <w:rPr>
                <w:rFonts w:hint="eastAsia" w:eastAsia="黑体" w:cs="黑体"/>
                <w:snapToGrid w:val="0"/>
                <w:sz w:val="20"/>
                <w:szCs w:val="20"/>
                <w:highlight w:val="none"/>
              </w:rPr>
              <w:t>序号</w:t>
            </w:r>
          </w:p>
        </w:tc>
        <w:tc>
          <w:tcPr>
            <w:tcW w:w="1060" w:type="dxa"/>
            <w:vMerge w:val="restart"/>
            <w:tcBorders>
              <w:top w:val="single" w:color="auto" w:sz="4" w:space="0"/>
              <w:left w:val="single" w:color="auto" w:sz="4" w:space="0"/>
              <w:bottom w:val="single" w:color="auto" w:sz="4" w:space="0"/>
              <w:right w:val="single" w:color="auto" w:sz="4" w:space="0"/>
            </w:tcBorders>
            <w:vAlign w:val="center"/>
          </w:tcPr>
          <w:p w14:paraId="78434707">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权力分类</w:t>
            </w:r>
          </w:p>
        </w:tc>
        <w:tc>
          <w:tcPr>
            <w:tcW w:w="4284" w:type="dxa"/>
            <w:gridSpan w:val="6"/>
            <w:tcBorders>
              <w:top w:val="single" w:color="auto" w:sz="4" w:space="0"/>
              <w:left w:val="nil"/>
              <w:bottom w:val="single" w:color="auto" w:sz="4" w:space="0"/>
              <w:right w:val="single" w:color="auto" w:sz="4" w:space="0"/>
            </w:tcBorders>
            <w:vAlign w:val="center"/>
          </w:tcPr>
          <w:p w14:paraId="698EEDDD">
            <w:pPr>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权力清单</w:t>
            </w:r>
          </w:p>
        </w:tc>
        <w:tc>
          <w:tcPr>
            <w:tcW w:w="13956" w:type="dxa"/>
            <w:gridSpan w:val="5"/>
            <w:tcBorders>
              <w:top w:val="single" w:color="auto" w:sz="4" w:space="0"/>
              <w:left w:val="nil"/>
              <w:bottom w:val="single" w:color="auto" w:sz="4" w:space="0"/>
              <w:right w:val="single" w:color="auto" w:sz="4" w:space="0"/>
            </w:tcBorders>
            <w:vAlign w:val="center"/>
          </w:tcPr>
          <w:p w14:paraId="680B3ACE">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责任清单</w:t>
            </w:r>
          </w:p>
        </w:tc>
      </w:tr>
      <w:tr w14:paraId="5541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blHeade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782DBB3B">
            <w:pPr>
              <w:widowControl/>
              <w:adjustRightInd w:val="0"/>
              <w:snapToGrid w:val="0"/>
              <w:spacing w:line="299" w:lineRule="exact"/>
              <w:jc w:val="center"/>
              <w:rPr>
                <w:rFonts w:eastAsia="黑体" w:cs="黑体"/>
                <w:snapToGrid w:val="0"/>
                <w:sz w:val="20"/>
                <w:szCs w:val="20"/>
                <w:highlight w:val="none"/>
              </w:rPr>
            </w:pPr>
          </w:p>
        </w:tc>
        <w:tc>
          <w:tcPr>
            <w:tcW w:w="1060" w:type="dxa"/>
            <w:vMerge w:val="continue"/>
            <w:tcBorders>
              <w:top w:val="single" w:color="auto" w:sz="4" w:space="0"/>
              <w:left w:val="single" w:color="auto" w:sz="4" w:space="0"/>
              <w:bottom w:val="single" w:color="auto" w:sz="4" w:space="0"/>
              <w:right w:val="single" w:color="auto" w:sz="4" w:space="0"/>
            </w:tcBorders>
            <w:vAlign w:val="center"/>
          </w:tcPr>
          <w:p w14:paraId="136283E5">
            <w:pPr>
              <w:widowControl/>
              <w:adjustRightInd w:val="0"/>
              <w:snapToGrid w:val="0"/>
              <w:spacing w:line="299" w:lineRule="exact"/>
              <w:jc w:val="center"/>
              <w:rPr>
                <w:rFonts w:eastAsia="黑体" w:cs="黑体"/>
                <w:snapToGrid w:val="0"/>
                <w:sz w:val="20"/>
                <w:szCs w:val="20"/>
                <w:highlight w:val="none"/>
              </w:rPr>
            </w:pPr>
          </w:p>
        </w:tc>
        <w:tc>
          <w:tcPr>
            <w:tcW w:w="572" w:type="dxa"/>
            <w:tcBorders>
              <w:top w:val="single" w:color="auto" w:sz="4" w:space="0"/>
              <w:left w:val="nil"/>
              <w:bottom w:val="single" w:color="auto" w:sz="4" w:space="0"/>
              <w:right w:val="single" w:color="auto" w:sz="4" w:space="0"/>
            </w:tcBorders>
            <w:vAlign w:val="center"/>
          </w:tcPr>
          <w:p w14:paraId="3262F66F">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项目</w:t>
            </w:r>
          </w:p>
          <w:p w14:paraId="57489D4B">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名称</w:t>
            </w:r>
          </w:p>
        </w:tc>
        <w:tc>
          <w:tcPr>
            <w:tcW w:w="685" w:type="dxa"/>
            <w:tcBorders>
              <w:top w:val="single" w:color="auto" w:sz="4" w:space="0"/>
              <w:left w:val="nil"/>
              <w:bottom w:val="single" w:color="auto" w:sz="4" w:space="0"/>
              <w:right w:val="single" w:color="auto" w:sz="4" w:space="0"/>
            </w:tcBorders>
            <w:vAlign w:val="center"/>
          </w:tcPr>
          <w:p w14:paraId="0172F605">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子项</w:t>
            </w:r>
          </w:p>
          <w:p w14:paraId="50E47637">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名称</w:t>
            </w:r>
          </w:p>
        </w:tc>
        <w:tc>
          <w:tcPr>
            <w:tcW w:w="805" w:type="dxa"/>
            <w:tcBorders>
              <w:top w:val="single" w:color="auto" w:sz="4" w:space="0"/>
              <w:left w:val="nil"/>
              <w:bottom w:val="single" w:color="auto" w:sz="4" w:space="0"/>
              <w:right w:val="single" w:color="auto" w:sz="4" w:space="0"/>
            </w:tcBorders>
            <w:vAlign w:val="center"/>
          </w:tcPr>
          <w:p w14:paraId="00D0EEE6">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实施主体</w:t>
            </w:r>
          </w:p>
        </w:tc>
        <w:tc>
          <w:tcPr>
            <w:tcW w:w="905" w:type="dxa"/>
            <w:gridSpan w:val="2"/>
            <w:tcBorders>
              <w:top w:val="single" w:color="auto" w:sz="4" w:space="0"/>
              <w:left w:val="single" w:color="auto" w:sz="4" w:space="0"/>
              <w:bottom w:val="single" w:color="auto" w:sz="4" w:space="0"/>
              <w:right w:val="single" w:color="auto" w:sz="4" w:space="0"/>
            </w:tcBorders>
            <w:vAlign w:val="center"/>
          </w:tcPr>
          <w:p w14:paraId="0BE0394C">
            <w:pPr>
              <w:widowControl/>
              <w:adjustRightInd w:val="0"/>
              <w:snapToGrid w:val="0"/>
              <w:spacing w:line="299" w:lineRule="exact"/>
              <w:jc w:val="center"/>
              <w:rPr>
                <w:rFonts w:eastAsia="黑体" w:cs="黑体"/>
                <w:snapToGrid w:val="0"/>
                <w:sz w:val="20"/>
                <w:szCs w:val="20"/>
                <w:highlight w:val="none"/>
              </w:rPr>
            </w:pPr>
            <w:r>
              <w:rPr>
                <w:rFonts w:hint="eastAsia" w:eastAsia="黑体" w:cs="黑体"/>
                <w:snapToGrid w:val="0"/>
                <w:sz w:val="20"/>
                <w:szCs w:val="20"/>
                <w:highlight w:val="none"/>
              </w:rPr>
              <w:t>承办的内设机构</w:t>
            </w:r>
          </w:p>
        </w:tc>
        <w:tc>
          <w:tcPr>
            <w:tcW w:w="1317" w:type="dxa"/>
            <w:tcBorders>
              <w:top w:val="single" w:color="auto" w:sz="4" w:space="0"/>
              <w:left w:val="nil"/>
              <w:bottom w:val="single" w:color="auto" w:sz="4" w:space="0"/>
              <w:right w:val="single" w:color="auto" w:sz="4" w:space="0"/>
            </w:tcBorders>
            <w:vAlign w:val="center"/>
          </w:tcPr>
          <w:p w14:paraId="5B3E4305">
            <w:pPr>
              <w:widowControl/>
              <w:adjustRightInd w:val="0"/>
              <w:snapToGrid w:val="0"/>
              <w:spacing w:line="299" w:lineRule="exact"/>
              <w:jc w:val="left"/>
              <w:rPr>
                <w:rFonts w:eastAsia="黑体" w:cs="黑体"/>
                <w:snapToGrid w:val="0"/>
                <w:sz w:val="20"/>
                <w:szCs w:val="20"/>
                <w:highlight w:val="none"/>
              </w:rPr>
            </w:pPr>
            <w:r>
              <w:rPr>
                <w:rFonts w:hint="eastAsia" w:eastAsia="黑体" w:cs="黑体"/>
                <w:snapToGrid w:val="0"/>
                <w:sz w:val="20"/>
                <w:szCs w:val="20"/>
                <w:highlight w:val="none"/>
              </w:rPr>
              <w:t>实施依据</w:t>
            </w:r>
          </w:p>
        </w:tc>
        <w:tc>
          <w:tcPr>
            <w:tcW w:w="2698" w:type="dxa"/>
            <w:tcBorders>
              <w:top w:val="single" w:color="auto" w:sz="4" w:space="0"/>
              <w:left w:val="nil"/>
              <w:bottom w:val="single" w:color="auto" w:sz="4" w:space="0"/>
              <w:right w:val="single" w:color="auto" w:sz="4" w:space="0"/>
            </w:tcBorders>
            <w:vAlign w:val="center"/>
          </w:tcPr>
          <w:p w14:paraId="7D97E0E4">
            <w:pPr>
              <w:widowControl/>
              <w:adjustRightInd w:val="0"/>
              <w:snapToGrid w:val="0"/>
              <w:spacing w:line="299" w:lineRule="exact"/>
              <w:jc w:val="left"/>
              <w:rPr>
                <w:rFonts w:eastAsia="黑体" w:cs="黑体"/>
                <w:snapToGrid w:val="0"/>
                <w:sz w:val="20"/>
                <w:szCs w:val="20"/>
                <w:highlight w:val="none"/>
              </w:rPr>
            </w:pPr>
            <w:r>
              <w:rPr>
                <w:rFonts w:hint="eastAsia" w:eastAsia="黑体" w:cs="黑体"/>
                <w:snapToGrid w:val="0"/>
                <w:sz w:val="20"/>
                <w:szCs w:val="20"/>
                <w:highlight w:val="none"/>
              </w:rPr>
              <w:t>责任事项（明确责任主体）</w:t>
            </w:r>
          </w:p>
        </w:tc>
        <w:tc>
          <w:tcPr>
            <w:tcW w:w="5244" w:type="dxa"/>
            <w:tcBorders>
              <w:top w:val="single" w:color="auto" w:sz="4" w:space="0"/>
              <w:left w:val="nil"/>
              <w:bottom w:val="single" w:color="auto" w:sz="4" w:space="0"/>
              <w:right w:val="single" w:color="auto" w:sz="4" w:space="0"/>
            </w:tcBorders>
            <w:vAlign w:val="center"/>
          </w:tcPr>
          <w:p w14:paraId="418E964A">
            <w:pPr>
              <w:widowControl/>
              <w:adjustRightInd w:val="0"/>
              <w:snapToGrid w:val="0"/>
              <w:spacing w:line="299" w:lineRule="exact"/>
              <w:jc w:val="left"/>
              <w:rPr>
                <w:rFonts w:eastAsia="黑体" w:cs="黑体"/>
                <w:snapToGrid w:val="0"/>
                <w:sz w:val="20"/>
                <w:szCs w:val="20"/>
                <w:highlight w:val="none"/>
              </w:rPr>
            </w:pPr>
            <w:r>
              <w:rPr>
                <w:rFonts w:hint="eastAsia" w:eastAsia="黑体" w:cs="黑体"/>
                <w:snapToGrid w:val="0"/>
                <w:sz w:val="20"/>
                <w:szCs w:val="20"/>
                <w:highlight w:val="none"/>
              </w:rPr>
              <w:t>责任事项依据</w:t>
            </w:r>
          </w:p>
        </w:tc>
        <w:tc>
          <w:tcPr>
            <w:tcW w:w="1942" w:type="dxa"/>
            <w:tcBorders>
              <w:top w:val="single" w:color="auto" w:sz="4" w:space="0"/>
              <w:left w:val="nil"/>
              <w:bottom w:val="single" w:color="auto" w:sz="4" w:space="0"/>
              <w:right w:val="single" w:color="auto" w:sz="4" w:space="0"/>
            </w:tcBorders>
            <w:vAlign w:val="center"/>
          </w:tcPr>
          <w:p w14:paraId="27C043D2">
            <w:pPr>
              <w:widowControl/>
              <w:adjustRightInd w:val="0"/>
              <w:snapToGrid w:val="0"/>
              <w:spacing w:line="299" w:lineRule="exact"/>
              <w:jc w:val="center"/>
              <w:rPr>
                <w:rFonts w:hint="eastAsia" w:eastAsia="方正黑体_GBK" w:cs="黑体"/>
                <w:snapToGrid w:val="0"/>
                <w:sz w:val="20"/>
                <w:szCs w:val="20"/>
                <w:highlight w:val="none"/>
                <w:lang w:eastAsia="zh-CN"/>
              </w:rPr>
            </w:pPr>
            <w:r>
              <w:rPr>
                <w:rFonts w:hint="eastAsia" w:eastAsia="黑体" w:cs="黑体"/>
                <w:snapToGrid w:val="0"/>
                <w:sz w:val="20"/>
                <w:szCs w:val="20"/>
                <w:highlight w:val="none"/>
              </w:rPr>
              <w:t>追责情形</w:t>
            </w:r>
            <w:r>
              <w:rPr>
                <w:rFonts w:hint="eastAsia" w:eastAsia="黑体" w:cs="黑体"/>
                <w:snapToGrid w:val="0"/>
                <w:sz w:val="20"/>
                <w:szCs w:val="20"/>
                <w:highlight w:val="none"/>
                <w:lang w:val="en-US" w:eastAsia="zh-CN"/>
              </w:rPr>
              <w:t xml:space="preserve">        </w:t>
            </w:r>
            <w:r>
              <w:rPr>
                <w:rFonts w:hint="eastAsia" w:ascii="方正黑体_GBK" w:hAnsi="黑体" w:eastAsia="方正黑体_GBK"/>
                <w:sz w:val="20"/>
                <w:szCs w:val="20"/>
                <w:highlight w:val="none"/>
              </w:rPr>
              <w:t>（明确内部追责主体</w:t>
            </w:r>
            <w:r>
              <w:rPr>
                <w:rFonts w:hint="eastAsia" w:ascii="方正黑体_GBK" w:hAnsi="黑体" w:eastAsia="方正黑体_GBK"/>
                <w:sz w:val="20"/>
                <w:szCs w:val="20"/>
                <w:highlight w:val="none"/>
                <w:lang w:eastAsia="zh-CN"/>
              </w:rPr>
              <w:t>）</w:t>
            </w:r>
          </w:p>
        </w:tc>
        <w:tc>
          <w:tcPr>
            <w:tcW w:w="1942" w:type="dxa"/>
            <w:tcBorders>
              <w:top w:val="single" w:color="auto" w:sz="4" w:space="0"/>
              <w:left w:val="nil"/>
              <w:bottom w:val="single" w:color="auto" w:sz="4" w:space="0"/>
              <w:right w:val="single" w:color="auto" w:sz="4" w:space="0"/>
            </w:tcBorders>
            <w:vAlign w:val="center"/>
          </w:tcPr>
          <w:p w14:paraId="1B896014">
            <w:pPr>
              <w:widowControl/>
              <w:adjustRightInd w:val="0"/>
              <w:snapToGrid w:val="0"/>
              <w:spacing w:line="299" w:lineRule="exact"/>
              <w:jc w:val="left"/>
              <w:rPr>
                <w:rFonts w:hint="eastAsia" w:eastAsia="黑体" w:cs="黑体"/>
                <w:snapToGrid w:val="0"/>
                <w:sz w:val="20"/>
                <w:szCs w:val="20"/>
                <w:highlight w:val="none"/>
              </w:rPr>
            </w:pPr>
            <w:r>
              <w:rPr>
                <w:rFonts w:hint="eastAsia" w:eastAsia="黑体" w:cs="黑体"/>
                <w:snapToGrid w:val="0"/>
                <w:sz w:val="20"/>
                <w:szCs w:val="20"/>
                <w:highlight w:val="none"/>
              </w:rPr>
              <w:t>追责依据</w:t>
            </w:r>
          </w:p>
        </w:tc>
        <w:tc>
          <w:tcPr>
            <w:tcW w:w="2130" w:type="dxa"/>
            <w:tcBorders>
              <w:top w:val="single" w:color="auto" w:sz="4" w:space="0"/>
              <w:left w:val="nil"/>
              <w:bottom w:val="single" w:color="auto" w:sz="4" w:space="0"/>
              <w:right w:val="single" w:color="auto" w:sz="4" w:space="0"/>
            </w:tcBorders>
            <w:vAlign w:val="center"/>
          </w:tcPr>
          <w:p w14:paraId="0FACEC7E">
            <w:pPr>
              <w:widowControl/>
              <w:adjustRightInd w:val="0"/>
              <w:snapToGrid w:val="0"/>
              <w:spacing w:line="299" w:lineRule="exact"/>
              <w:jc w:val="left"/>
              <w:rPr>
                <w:rFonts w:hint="eastAsia" w:eastAsia="黑体" w:cs="黑体"/>
                <w:snapToGrid w:val="0"/>
                <w:sz w:val="20"/>
                <w:szCs w:val="20"/>
                <w:highlight w:val="none"/>
              </w:rPr>
            </w:pPr>
            <w:r>
              <w:rPr>
                <w:rFonts w:hint="eastAsia" w:eastAsia="黑体" w:cs="黑体"/>
                <w:snapToGrid w:val="0"/>
                <w:sz w:val="20"/>
                <w:szCs w:val="20"/>
                <w:highlight w:val="none"/>
              </w:rPr>
              <w:t>免责事项</w:t>
            </w:r>
          </w:p>
        </w:tc>
      </w:tr>
      <w:tr w14:paraId="55BF5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B80876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w:t>
            </w:r>
          </w:p>
        </w:tc>
        <w:tc>
          <w:tcPr>
            <w:tcW w:w="1060" w:type="dxa"/>
            <w:tcBorders>
              <w:top w:val="single" w:color="auto" w:sz="4" w:space="0"/>
              <w:left w:val="nil"/>
              <w:bottom w:val="single" w:color="auto" w:sz="4" w:space="0"/>
              <w:right w:val="single" w:color="auto" w:sz="4" w:space="0"/>
            </w:tcBorders>
            <w:vAlign w:val="center"/>
          </w:tcPr>
          <w:p w14:paraId="5258E1F6">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p w14:paraId="252AFC82">
            <w:pPr>
              <w:widowControl/>
              <w:adjustRightInd w:val="0"/>
              <w:snapToGrid w:val="0"/>
              <w:spacing w:line="300" w:lineRule="exact"/>
              <w:jc w:val="center"/>
              <w:rPr>
                <w:rFonts w:eastAsia="仿宋_GB2312" w:cs="仿宋_GB2312"/>
                <w:snapToGrid w:val="0"/>
                <w:sz w:val="20"/>
                <w:szCs w:val="20"/>
                <w:highlight w:val="none"/>
              </w:rPr>
            </w:pPr>
          </w:p>
        </w:tc>
        <w:tc>
          <w:tcPr>
            <w:tcW w:w="572" w:type="dxa"/>
            <w:tcBorders>
              <w:top w:val="single" w:color="auto" w:sz="4" w:space="0"/>
              <w:left w:val="nil"/>
              <w:bottom w:val="single" w:color="auto" w:sz="4" w:space="0"/>
              <w:right w:val="single" w:color="auto" w:sz="4" w:space="0"/>
            </w:tcBorders>
            <w:vAlign w:val="center"/>
          </w:tcPr>
          <w:p w14:paraId="00599B4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对用人单位违反法律法规规定延长劳动者工作时间的处罚</w:t>
            </w:r>
          </w:p>
        </w:tc>
        <w:tc>
          <w:tcPr>
            <w:tcW w:w="685" w:type="dxa"/>
            <w:tcBorders>
              <w:top w:val="single" w:color="auto" w:sz="4" w:space="0"/>
              <w:left w:val="nil"/>
              <w:bottom w:val="single" w:color="auto" w:sz="4" w:space="0"/>
              <w:right w:val="single" w:color="auto" w:sz="4" w:space="0"/>
            </w:tcBorders>
            <w:vAlign w:val="center"/>
          </w:tcPr>
          <w:p w14:paraId="72EFC736">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7EF025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4699610">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176B16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1.【法律】《中华人民共和国劳动法》（1994年7月5日主席令第28号，2018年12月29日第二次修正）第九十条： 用人单位违反本法规定，延长劳动者工作时间的，由劳动行政部门给予警告，责令改正，并可以处以罚款。</w:t>
            </w:r>
          </w:p>
          <w:p w14:paraId="21FA69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二十五条：用人单位违反劳动保障法律、法规或者规章延长劳动者工作时间的，由劳动保障行政部门给予警告，责令限期改正，并可以按照受侵害的劳动者每人100元以上500元以下的标准计算，处以罚款。</w:t>
            </w:r>
          </w:p>
        </w:tc>
        <w:tc>
          <w:tcPr>
            <w:tcW w:w="2698" w:type="dxa"/>
            <w:tcBorders>
              <w:top w:val="single" w:color="auto" w:sz="4" w:space="0"/>
              <w:left w:val="nil"/>
              <w:bottom w:val="single" w:color="auto" w:sz="4" w:space="0"/>
              <w:right w:val="single" w:color="auto" w:sz="4" w:space="0"/>
            </w:tcBorders>
            <w:vAlign w:val="center"/>
          </w:tcPr>
          <w:p w14:paraId="0D1FE4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103AAE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349D91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743E3C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762DA9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4526BF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1DD277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3A6530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p w14:paraId="7C589DDF">
            <w:pPr>
              <w:widowControl/>
              <w:adjustRightInd w:val="0"/>
              <w:snapToGrid w:val="0"/>
              <w:spacing w:line="300" w:lineRule="exact"/>
              <w:jc w:val="left"/>
              <w:rPr>
                <w:rFonts w:eastAsia="仿宋_GB2312" w:cs="仿宋_GB2312"/>
                <w:snapToGrid w:val="0"/>
                <w:sz w:val="20"/>
                <w:szCs w:val="20"/>
                <w:highlight w:val="none"/>
              </w:rPr>
            </w:pPr>
          </w:p>
        </w:tc>
        <w:tc>
          <w:tcPr>
            <w:tcW w:w="5244" w:type="dxa"/>
            <w:tcBorders>
              <w:top w:val="single" w:color="auto" w:sz="4" w:space="0"/>
              <w:left w:val="nil"/>
              <w:bottom w:val="single" w:color="auto" w:sz="4" w:space="0"/>
              <w:right w:val="single" w:color="auto" w:sz="4" w:space="0"/>
            </w:tcBorders>
            <w:vAlign w:val="center"/>
          </w:tcPr>
          <w:p w14:paraId="3B54BE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60DA01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37A578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494348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53B69D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9BB65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5D35C38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A08BB3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3EC11E9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3879D1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BAAA0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0BC9E1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369BD2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5CB819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2F9D74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5841B9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394BF7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0B0FFF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ED02B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50B2B8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1C21E2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0C1EAA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67C6B47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6B7B21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7B786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6B8F221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B79EEB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7D9CE3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3D2513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36EDB2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5A811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6C59735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617775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2C3746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2C642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0036100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EEEBB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7D8A74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BDF56B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B46F94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2E752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74FB53D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23E8B3A3">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2CBB78BF">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B574C92">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12878F70">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7AEA747">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w:t>
            </w:r>
          </w:p>
          <w:p w14:paraId="6078E902">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（五）违法处理罚没财物；</w:t>
            </w:r>
          </w:p>
          <w:p w14:paraId="7D578CFE">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AA43C27">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B2D3A59">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062F32EA">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8CB2DDA">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7.同6。</w:t>
            </w:r>
          </w:p>
          <w:p w14:paraId="45B7D079">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CE06946">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C2886DC">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1B76E5E8">
            <w:pPr>
              <w:widowControl/>
              <w:adjustRightInd w:val="0"/>
              <w:snapToGrid w:val="0"/>
              <w:spacing w:line="300" w:lineRule="exact"/>
              <w:jc w:val="both"/>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6FDE0C7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5D8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4392"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9C6F808">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2</w:t>
            </w:r>
          </w:p>
        </w:tc>
        <w:tc>
          <w:tcPr>
            <w:tcW w:w="1060" w:type="dxa"/>
            <w:tcBorders>
              <w:top w:val="single" w:color="auto" w:sz="4" w:space="0"/>
              <w:left w:val="nil"/>
              <w:bottom w:val="single" w:color="auto" w:sz="4" w:space="0"/>
              <w:right w:val="single" w:color="auto" w:sz="4" w:space="0"/>
            </w:tcBorders>
            <w:vAlign w:val="center"/>
          </w:tcPr>
          <w:p w14:paraId="2EDC6AB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454080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对无理抗拒、阻挠劳动保障行政部门实施劳动保障监察的处罚</w:t>
            </w:r>
          </w:p>
        </w:tc>
        <w:tc>
          <w:tcPr>
            <w:tcW w:w="685" w:type="dxa"/>
            <w:tcBorders>
              <w:top w:val="single" w:color="auto" w:sz="4" w:space="0"/>
              <w:left w:val="nil"/>
              <w:bottom w:val="single" w:color="auto" w:sz="4" w:space="0"/>
              <w:right w:val="single" w:color="auto" w:sz="4" w:space="0"/>
            </w:tcBorders>
            <w:vAlign w:val="center"/>
          </w:tcPr>
          <w:p w14:paraId="2C204B55">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vMerge w:val="restart"/>
            <w:tcBorders>
              <w:top w:val="single" w:color="auto" w:sz="4" w:space="0"/>
              <w:left w:val="nil"/>
              <w:right w:val="single" w:color="auto" w:sz="4" w:space="0"/>
            </w:tcBorders>
            <w:vAlign w:val="center"/>
          </w:tcPr>
          <w:p w14:paraId="346EE5A3">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vMerge w:val="restart"/>
            <w:tcBorders>
              <w:top w:val="single" w:color="auto" w:sz="4" w:space="0"/>
              <w:left w:val="single" w:color="auto" w:sz="4" w:space="0"/>
              <w:right w:val="single" w:color="auto" w:sz="4" w:space="0"/>
            </w:tcBorders>
            <w:vAlign w:val="center"/>
          </w:tcPr>
          <w:p w14:paraId="29EEB53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vMerge w:val="restart"/>
            <w:tcBorders>
              <w:top w:val="single" w:color="auto" w:sz="4" w:space="0"/>
              <w:left w:val="nil"/>
              <w:right w:val="single" w:color="auto" w:sz="4" w:space="0"/>
            </w:tcBorders>
            <w:vAlign w:val="center"/>
          </w:tcPr>
          <w:p w14:paraId="1CDF0F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1.【法律】《中华人民共和国劳动法》（1994年7月5日主席令第28号，2018年12月29日第二次修正）第一百零一条： 用人单位无理阻挠劳动行政部门、有关部门及其工作人员行使监督检查权，打击报复举报人员的，由劳动行政部门或者有关部门处以罚款；构成犯罪的，对责任人员依法追究刑事责任。</w:t>
            </w:r>
          </w:p>
          <w:p w14:paraId="5E1014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11月1日国务院令第423号公布）第三十条：有下列行为之一的，由劳动保障行政部门责令改正；对有第（一）项、第（二）项或者第（三）项规定的行为的，处2000元以上2万元以下的罚款：（一）无理抗拒、阻挠劳动保障行政部门依照本条例的规定实施劳动保障监察的；（二）不按照劳动保障行政部门的要求报送书面材料，隐瞒事实真相，出具伪证或者隐匿、毁灭证据的；（三）经劳动保障行政部门责令改正拒不改正，或者拒不履行劳动保障行政部门的行政处理决定的；（四）打击报复举报人、投诉人的。……。</w:t>
            </w:r>
          </w:p>
        </w:tc>
        <w:tc>
          <w:tcPr>
            <w:tcW w:w="2698" w:type="dxa"/>
            <w:vMerge w:val="restart"/>
            <w:tcBorders>
              <w:top w:val="single" w:color="auto" w:sz="4" w:space="0"/>
              <w:left w:val="nil"/>
              <w:right w:val="single" w:color="auto" w:sz="4" w:space="0"/>
            </w:tcBorders>
            <w:vAlign w:val="center"/>
          </w:tcPr>
          <w:p w14:paraId="402163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1D4BBF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136178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58CED1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02F6C0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F026E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6DBC3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64BFB2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vMerge w:val="restart"/>
            <w:tcBorders>
              <w:top w:val="single" w:color="auto" w:sz="4" w:space="0"/>
              <w:left w:val="nil"/>
              <w:right w:val="single" w:color="auto" w:sz="4" w:space="0"/>
            </w:tcBorders>
            <w:vAlign w:val="center"/>
          </w:tcPr>
          <w:p w14:paraId="00D431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1AEBAD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64230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36D530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5CC2E1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0C061D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CC3D8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C27F6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08C17D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355D23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6DD7A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2EF1A19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16DC8D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74C19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09A9C7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65A7FE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121E36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51E5B4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6C0B4F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30B435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4B44D5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AF8B33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1CF9EF5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3990C6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BD8F6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5F7EDE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4FDBFDB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52FAD62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19CD61E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3A000F4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9C7A6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6672A84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3245DA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60BBDE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A7282E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0C4E540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A5F11C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1DA33F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5966D4F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9E0996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4EDF6A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BF7785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69A6C40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45C126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E72E31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2CF63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060B8D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w:t>
            </w:r>
          </w:p>
          <w:p w14:paraId="58DB68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（五）违法处理罚没财物；</w:t>
            </w:r>
          </w:p>
          <w:p w14:paraId="456E3D0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505E224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FFCD1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499FA0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6091CF2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7.同6。</w:t>
            </w:r>
          </w:p>
          <w:p w14:paraId="01E7771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12A476E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9ED58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CA719F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333AE3B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490A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4391"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25E8A67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3</w:t>
            </w:r>
          </w:p>
        </w:tc>
        <w:tc>
          <w:tcPr>
            <w:tcW w:w="1060" w:type="dxa"/>
            <w:tcBorders>
              <w:top w:val="single" w:color="auto" w:sz="4" w:space="0"/>
              <w:left w:val="nil"/>
              <w:bottom w:val="single" w:color="auto" w:sz="4" w:space="0"/>
              <w:right w:val="single" w:color="auto" w:sz="4" w:space="0"/>
            </w:tcBorders>
            <w:vAlign w:val="center"/>
          </w:tcPr>
          <w:p w14:paraId="30BE61D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8330CC0">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对不按照劳动保障行政部门的要求报送书面材料，隐瞒事实真相，出具伪证或者隐匿、毁灭证据的处罚</w:t>
            </w:r>
          </w:p>
          <w:p w14:paraId="7D4D6DBF">
            <w:pPr>
              <w:pStyle w:val="2"/>
              <w:rPr>
                <w:highlight w:val="none"/>
              </w:rPr>
            </w:pPr>
          </w:p>
          <w:p w14:paraId="16643BF3">
            <w:pPr>
              <w:pStyle w:val="3"/>
              <w:rPr>
                <w:rFonts w:ascii="Times New Roman" w:hAnsi="Times New Roman"/>
                <w:highlight w:val="none"/>
              </w:rPr>
            </w:pPr>
          </w:p>
          <w:p w14:paraId="7200C1D9">
            <w:pPr>
              <w:rPr>
                <w:highlight w:val="none"/>
              </w:rPr>
            </w:pPr>
          </w:p>
          <w:p w14:paraId="404459F4">
            <w:pPr>
              <w:pStyle w:val="2"/>
              <w:rPr>
                <w:highlight w:val="none"/>
              </w:rPr>
            </w:pPr>
          </w:p>
          <w:p w14:paraId="782B0F7F">
            <w:pPr>
              <w:pStyle w:val="3"/>
              <w:rPr>
                <w:rFonts w:ascii="Times New Roman" w:hAnsi="Times New Roman"/>
                <w:highlight w:val="none"/>
              </w:rPr>
            </w:pPr>
          </w:p>
          <w:p w14:paraId="674F54F4">
            <w:pPr>
              <w:rPr>
                <w:highlight w:val="none"/>
              </w:rPr>
            </w:pPr>
          </w:p>
          <w:p w14:paraId="352A43AA">
            <w:pPr>
              <w:pStyle w:val="2"/>
              <w:rPr>
                <w:highlight w:val="none"/>
              </w:rPr>
            </w:pPr>
          </w:p>
          <w:p w14:paraId="0312EAAA">
            <w:pPr>
              <w:pStyle w:val="3"/>
              <w:rPr>
                <w:rFonts w:ascii="Times New Roman" w:hAnsi="Times New Roman"/>
                <w:highlight w:val="none"/>
              </w:rPr>
            </w:pPr>
          </w:p>
          <w:p w14:paraId="111DB21E">
            <w:pPr>
              <w:rPr>
                <w:highlight w:val="none"/>
              </w:rPr>
            </w:pPr>
          </w:p>
          <w:p w14:paraId="3220E4D4">
            <w:pPr>
              <w:pStyle w:val="3"/>
              <w:rPr>
                <w:rFonts w:ascii="Times New Roman" w:hAnsi="Times New Roman"/>
                <w:highlight w:val="none"/>
              </w:rPr>
            </w:pPr>
          </w:p>
        </w:tc>
        <w:tc>
          <w:tcPr>
            <w:tcW w:w="685" w:type="dxa"/>
            <w:tcBorders>
              <w:top w:val="single" w:color="auto" w:sz="4" w:space="0"/>
              <w:left w:val="nil"/>
              <w:bottom w:val="single" w:color="auto" w:sz="4" w:space="0"/>
              <w:right w:val="single" w:color="auto" w:sz="4" w:space="0"/>
            </w:tcBorders>
            <w:vAlign w:val="center"/>
          </w:tcPr>
          <w:p w14:paraId="5F8871F7">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vMerge w:val="continue"/>
            <w:tcBorders>
              <w:left w:val="nil"/>
              <w:bottom w:val="single" w:color="auto" w:sz="4" w:space="0"/>
              <w:right w:val="single" w:color="auto" w:sz="4" w:space="0"/>
            </w:tcBorders>
            <w:vAlign w:val="center"/>
          </w:tcPr>
          <w:p w14:paraId="1E3F23BE">
            <w:pPr>
              <w:widowControl/>
              <w:adjustRightInd w:val="0"/>
              <w:snapToGrid w:val="0"/>
              <w:spacing w:line="300" w:lineRule="exact"/>
              <w:jc w:val="center"/>
              <w:rPr>
                <w:rFonts w:eastAsia="仿宋_GB2312" w:cs="仿宋_GB2312"/>
                <w:snapToGrid w:val="0"/>
                <w:sz w:val="20"/>
                <w:szCs w:val="20"/>
                <w:highlight w:val="none"/>
              </w:rPr>
            </w:pPr>
          </w:p>
        </w:tc>
        <w:tc>
          <w:tcPr>
            <w:tcW w:w="885" w:type="dxa"/>
            <w:vMerge w:val="continue"/>
            <w:tcBorders>
              <w:left w:val="single" w:color="auto" w:sz="4" w:space="0"/>
              <w:bottom w:val="single" w:color="auto" w:sz="4" w:space="0"/>
              <w:right w:val="single" w:color="auto" w:sz="4" w:space="0"/>
            </w:tcBorders>
            <w:vAlign w:val="center"/>
          </w:tcPr>
          <w:p w14:paraId="435D62B2">
            <w:pPr>
              <w:widowControl/>
              <w:adjustRightInd w:val="0"/>
              <w:snapToGrid w:val="0"/>
              <w:spacing w:line="300" w:lineRule="exact"/>
              <w:jc w:val="center"/>
              <w:rPr>
                <w:rFonts w:eastAsia="仿宋_GB2312" w:cs="仿宋_GB2312"/>
                <w:snapToGrid w:val="0"/>
                <w:sz w:val="20"/>
                <w:szCs w:val="20"/>
                <w:highlight w:val="none"/>
              </w:rPr>
            </w:pPr>
          </w:p>
        </w:tc>
        <w:tc>
          <w:tcPr>
            <w:tcW w:w="1317" w:type="dxa"/>
            <w:vMerge w:val="continue"/>
            <w:tcBorders>
              <w:left w:val="nil"/>
              <w:right w:val="single" w:color="auto" w:sz="4" w:space="0"/>
            </w:tcBorders>
            <w:vAlign w:val="center"/>
          </w:tcPr>
          <w:p w14:paraId="023B0B80">
            <w:pPr>
              <w:widowControl/>
              <w:adjustRightInd w:val="0"/>
              <w:snapToGrid w:val="0"/>
              <w:spacing w:line="300" w:lineRule="exact"/>
              <w:jc w:val="left"/>
              <w:rPr>
                <w:rFonts w:eastAsia="仿宋_GB2312" w:cs="仿宋_GB2312"/>
                <w:snapToGrid w:val="0"/>
                <w:sz w:val="20"/>
                <w:szCs w:val="20"/>
                <w:highlight w:val="none"/>
              </w:rPr>
            </w:pPr>
          </w:p>
        </w:tc>
        <w:tc>
          <w:tcPr>
            <w:tcW w:w="2698" w:type="dxa"/>
            <w:vMerge w:val="continue"/>
            <w:tcBorders>
              <w:left w:val="nil"/>
              <w:right w:val="single" w:color="auto" w:sz="4" w:space="0"/>
            </w:tcBorders>
            <w:vAlign w:val="center"/>
          </w:tcPr>
          <w:p w14:paraId="1C7C9994">
            <w:pPr>
              <w:widowControl/>
              <w:adjustRightInd w:val="0"/>
              <w:snapToGrid w:val="0"/>
              <w:spacing w:line="300" w:lineRule="exact"/>
              <w:jc w:val="left"/>
              <w:rPr>
                <w:rFonts w:eastAsia="仿宋_GB2312" w:cs="仿宋_GB2312"/>
                <w:snapToGrid w:val="0"/>
                <w:sz w:val="20"/>
                <w:szCs w:val="20"/>
                <w:highlight w:val="none"/>
              </w:rPr>
            </w:pPr>
          </w:p>
        </w:tc>
        <w:tc>
          <w:tcPr>
            <w:tcW w:w="5244" w:type="dxa"/>
            <w:vMerge w:val="continue"/>
            <w:tcBorders>
              <w:left w:val="nil"/>
              <w:right w:val="single" w:color="auto" w:sz="4" w:space="0"/>
            </w:tcBorders>
            <w:vAlign w:val="center"/>
          </w:tcPr>
          <w:p w14:paraId="3EF6A888">
            <w:pPr>
              <w:widowControl/>
              <w:adjustRightInd w:val="0"/>
              <w:snapToGrid w:val="0"/>
              <w:spacing w:line="300" w:lineRule="exact"/>
              <w:jc w:val="left"/>
              <w:rPr>
                <w:rFonts w:eastAsia="仿宋_GB2312" w:cs="仿宋_GB2312"/>
                <w:snapToGrid w:val="0"/>
                <w:sz w:val="20"/>
                <w:szCs w:val="20"/>
                <w:highlight w:val="none"/>
              </w:rPr>
            </w:pPr>
          </w:p>
        </w:tc>
        <w:tc>
          <w:tcPr>
            <w:tcW w:w="1942" w:type="dxa"/>
            <w:tcBorders>
              <w:top w:val="single" w:color="auto" w:sz="4" w:space="0"/>
              <w:left w:val="nil"/>
              <w:right w:val="single" w:color="auto" w:sz="4" w:space="0"/>
            </w:tcBorders>
            <w:vAlign w:val="center"/>
          </w:tcPr>
          <w:p w14:paraId="10128DB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68E9219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660E3B0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4C0D86F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B23F0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8E4ED7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321BA8C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25815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E003E3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938EE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right w:val="single" w:color="auto" w:sz="4" w:space="0"/>
            </w:tcBorders>
            <w:vAlign w:val="center"/>
          </w:tcPr>
          <w:p w14:paraId="01B64B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E008CA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6EE373D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2C456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9226C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24C406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835B4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2F57A1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1D3FF2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36AACC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35DAF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788404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C0423F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B6097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137751B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554DEA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w:t>
            </w:r>
          </w:p>
          <w:p w14:paraId="1652A37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（五）违法处理罚没财物；</w:t>
            </w:r>
          </w:p>
          <w:p w14:paraId="71A41A9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E2A501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476AE95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（八）其他违法实施行政处罚的情形。行政机关工作人员违反前款规定，应当承担行政过错责任。</w:t>
            </w:r>
          </w:p>
          <w:p w14:paraId="1A0447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4AA82E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8B162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7CE57F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0EFBC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right w:val="single" w:color="auto" w:sz="4" w:space="0"/>
            </w:tcBorders>
            <w:vAlign w:val="center"/>
          </w:tcPr>
          <w:p w14:paraId="4A6226A6">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6A96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4391"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6FF793A">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4</w:t>
            </w:r>
          </w:p>
        </w:tc>
        <w:tc>
          <w:tcPr>
            <w:tcW w:w="1060" w:type="dxa"/>
            <w:vMerge w:val="restart"/>
            <w:tcBorders>
              <w:top w:val="single" w:color="auto" w:sz="4" w:space="0"/>
              <w:left w:val="nil"/>
              <w:right w:val="single" w:color="auto" w:sz="4" w:space="0"/>
            </w:tcBorders>
            <w:vAlign w:val="center"/>
          </w:tcPr>
          <w:p w14:paraId="6A401601">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right w:val="single" w:color="auto" w:sz="4" w:space="0"/>
            </w:tcBorders>
            <w:vAlign w:val="center"/>
          </w:tcPr>
          <w:p w14:paraId="6E702CEA">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对经劳动保障行政部门责令改正拒不改正，或者拒不履行劳动保障行政部门的行政处理决定的处罚</w:t>
            </w:r>
          </w:p>
        </w:tc>
        <w:tc>
          <w:tcPr>
            <w:tcW w:w="685" w:type="dxa"/>
            <w:vMerge w:val="restart"/>
            <w:tcBorders>
              <w:top w:val="single" w:color="auto" w:sz="4" w:space="0"/>
              <w:left w:val="nil"/>
              <w:right w:val="single" w:color="auto" w:sz="4" w:space="0"/>
            </w:tcBorders>
            <w:vAlign w:val="center"/>
          </w:tcPr>
          <w:p w14:paraId="40039F3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right w:val="single" w:color="auto" w:sz="4" w:space="0"/>
            </w:tcBorders>
            <w:vAlign w:val="center"/>
          </w:tcPr>
          <w:p w14:paraId="526225B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right w:val="single" w:color="auto" w:sz="4" w:space="0"/>
            </w:tcBorders>
            <w:vAlign w:val="center"/>
          </w:tcPr>
          <w:p w14:paraId="1A32723D">
            <w:pPr>
              <w:widowControl/>
              <w:tabs>
                <w:tab w:val="left" w:pos="537"/>
              </w:tabs>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vMerge w:val="continue"/>
            <w:tcBorders>
              <w:left w:val="nil"/>
              <w:right w:val="single" w:color="auto" w:sz="4" w:space="0"/>
            </w:tcBorders>
            <w:vAlign w:val="center"/>
          </w:tcPr>
          <w:p w14:paraId="21152E68">
            <w:pPr>
              <w:widowControl/>
              <w:adjustRightInd w:val="0"/>
              <w:snapToGrid w:val="0"/>
              <w:spacing w:line="300" w:lineRule="exact"/>
              <w:jc w:val="left"/>
              <w:rPr>
                <w:rFonts w:eastAsia="仿宋_GB2312" w:cs="仿宋_GB2312"/>
                <w:snapToGrid w:val="0"/>
                <w:sz w:val="20"/>
                <w:szCs w:val="20"/>
                <w:highlight w:val="none"/>
              </w:rPr>
            </w:pPr>
          </w:p>
        </w:tc>
        <w:tc>
          <w:tcPr>
            <w:tcW w:w="2698" w:type="dxa"/>
            <w:vMerge w:val="continue"/>
            <w:tcBorders>
              <w:left w:val="nil"/>
              <w:right w:val="single" w:color="auto" w:sz="4" w:space="0"/>
            </w:tcBorders>
            <w:vAlign w:val="center"/>
          </w:tcPr>
          <w:p w14:paraId="35FF7FF0">
            <w:pPr>
              <w:widowControl/>
              <w:adjustRightInd w:val="0"/>
              <w:snapToGrid w:val="0"/>
              <w:spacing w:line="300" w:lineRule="exact"/>
              <w:jc w:val="left"/>
              <w:rPr>
                <w:rFonts w:eastAsia="仿宋_GB2312" w:cs="仿宋_GB2312"/>
                <w:snapToGrid w:val="0"/>
                <w:sz w:val="20"/>
                <w:szCs w:val="20"/>
                <w:highlight w:val="none"/>
              </w:rPr>
            </w:pPr>
          </w:p>
        </w:tc>
        <w:tc>
          <w:tcPr>
            <w:tcW w:w="5244" w:type="dxa"/>
            <w:vMerge w:val="continue"/>
            <w:tcBorders>
              <w:left w:val="nil"/>
              <w:right w:val="single" w:color="auto" w:sz="4" w:space="0"/>
            </w:tcBorders>
            <w:vAlign w:val="center"/>
          </w:tcPr>
          <w:p w14:paraId="7E9DFA68">
            <w:pPr>
              <w:widowControl/>
              <w:adjustRightInd w:val="0"/>
              <w:snapToGrid w:val="0"/>
              <w:spacing w:line="300" w:lineRule="exact"/>
              <w:jc w:val="left"/>
              <w:rPr>
                <w:rFonts w:eastAsia="仿宋_GB2312" w:cs="仿宋_GB2312"/>
                <w:snapToGrid w:val="0"/>
                <w:sz w:val="20"/>
                <w:szCs w:val="20"/>
                <w:highlight w:val="none"/>
              </w:rPr>
            </w:pPr>
          </w:p>
        </w:tc>
        <w:tc>
          <w:tcPr>
            <w:tcW w:w="1942" w:type="dxa"/>
            <w:tcBorders>
              <w:left w:val="nil"/>
              <w:right w:val="single" w:color="auto" w:sz="4" w:space="0"/>
            </w:tcBorders>
            <w:vAlign w:val="center"/>
          </w:tcPr>
          <w:p w14:paraId="44819EF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7FE30F3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7887978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B42148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D3DDE1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5BF855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5873193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7A05517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771B3DF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7CD570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left w:val="nil"/>
              <w:right w:val="single" w:color="auto" w:sz="4" w:space="0"/>
            </w:tcBorders>
            <w:vAlign w:val="center"/>
          </w:tcPr>
          <w:p w14:paraId="476B7F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1748C9F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3D5979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45400E0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5CF1B69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5FC3E4F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08DE87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2A963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AF308E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17C31A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854E94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13CED4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BBAD0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3672B0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014703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3508DA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125969B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DDD58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D3AB9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4A9622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311DDB7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7.同6。</w:t>
            </w:r>
          </w:p>
          <w:p w14:paraId="31EC9B2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86869B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B0D614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65BB4AF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left w:val="nil"/>
              <w:right w:val="single" w:color="auto" w:sz="4" w:space="0"/>
            </w:tcBorders>
            <w:vAlign w:val="center"/>
          </w:tcPr>
          <w:p w14:paraId="553668E5">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3F7F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4391"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6FBD1B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5</w:t>
            </w:r>
          </w:p>
        </w:tc>
        <w:tc>
          <w:tcPr>
            <w:tcW w:w="1060" w:type="dxa"/>
            <w:vMerge w:val="continue"/>
            <w:tcBorders>
              <w:left w:val="nil"/>
              <w:bottom w:val="single" w:color="auto" w:sz="4" w:space="0"/>
              <w:right w:val="single" w:color="auto" w:sz="4" w:space="0"/>
            </w:tcBorders>
            <w:vAlign w:val="center"/>
          </w:tcPr>
          <w:p w14:paraId="01BBC91D">
            <w:pPr>
              <w:widowControl/>
              <w:adjustRightInd w:val="0"/>
              <w:snapToGrid w:val="0"/>
              <w:spacing w:line="300" w:lineRule="exact"/>
              <w:jc w:val="center"/>
              <w:rPr>
                <w:rFonts w:eastAsia="仿宋_GB2312" w:cs="仿宋_GB2312"/>
                <w:snapToGrid w:val="0"/>
                <w:sz w:val="20"/>
                <w:szCs w:val="20"/>
                <w:highlight w:val="none"/>
              </w:rPr>
            </w:pPr>
          </w:p>
        </w:tc>
        <w:tc>
          <w:tcPr>
            <w:tcW w:w="572" w:type="dxa"/>
            <w:tcBorders>
              <w:left w:val="nil"/>
              <w:bottom w:val="single" w:color="auto" w:sz="4" w:space="0"/>
              <w:right w:val="single" w:color="auto" w:sz="4" w:space="0"/>
            </w:tcBorders>
            <w:vAlign w:val="center"/>
          </w:tcPr>
          <w:p w14:paraId="1F39A84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对打击报复举报人、投诉人的处罚</w:t>
            </w:r>
          </w:p>
        </w:tc>
        <w:tc>
          <w:tcPr>
            <w:tcW w:w="685" w:type="dxa"/>
            <w:vMerge w:val="continue"/>
            <w:tcBorders>
              <w:left w:val="nil"/>
              <w:bottom w:val="single" w:color="auto" w:sz="4" w:space="0"/>
              <w:right w:val="single" w:color="auto" w:sz="4" w:space="0"/>
            </w:tcBorders>
            <w:vAlign w:val="center"/>
          </w:tcPr>
          <w:p w14:paraId="135D498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left w:val="nil"/>
              <w:right w:val="single" w:color="auto" w:sz="4" w:space="0"/>
            </w:tcBorders>
            <w:vAlign w:val="center"/>
          </w:tcPr>
          <w:p w14:paraId="1F35FB4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left w:val="single" w:color="auto" w:sz="4" w:space="0"/>
              <w:right w:val="single" w:color="auto" w:sz="4" w:space="0"/>
            </w:tcBorders>
            <w:vAlign w:val="center"/>
          </w:tcPr>
          <w:p w14:paraId="1241173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vMerge w:val="continue"/>
            <w:tcBorders>
              <w:left w:val="nil"/>
              <w:bottom w:val="single" w:color="auto" w:sz="4" w:space="0"/>
              <w:right w:val="single" w:color="auto" w:sz="4" w:space="0"/>
            </w:tcBorders>
            <w:vAlign w:val="center"/>
          </w:tcPr>
          <w:p w14:paraId="73B74DD6">
            <w:pPr>
              <w:widowControl/>
              <w:adjustRightInd w:val="0"/>
              <w:snapToGrid w:val="0"/>
              <w:spacing w:line="300" w:lineRule="exact"/>
              <w:jc w:val="left"/>
              <w:rPr>
                <w:rFonts w:eastAsia="仿宋_GB2312" w:cs="仿宋_GB2312"/>
                <w:snapToGrid w:val="0"/>
                <w:sz w:val="20"/>
                <w:szCs w:val="20"/>
                <w:highlight w:val="none"/>
              </w:rPr>
            </w:pPr>
          </w:p>
        </w:tc>
        <w:tc>
          <w:tcPr>
            <w:tcW w:w="2698" w:type="dxa"/>
            <w:vMerge w:val="continue"/>
            <w:tcBorders>
              <w:left w:val="nil"/>
              <w:bottom w:val="single" w:color="auto" w:sz="4" w:space="0"/>
              <w:right w:val="single" w:color="auto" w:sz="4" w:space="0"/>
            </w:tcBorders>
            <w:vAlign w:val="center"/>
          </w:tcPr>
          <w:p w14:paraId="52BF4EF1">
            <w:pPr>
              <w:widowControl/>
              <w:adjustRightInd w:val="0"/>
              <w:snapToGrid w:val="0"/>
              <w:spacing w:line="300" w:lineRule="exact"/>
              <w:jc w:val="left"/>
              <w:rPr>
                <w:rFonts w:eastAsia="仿宋_GB2312" w:cs="仿宋_GB2312"/>
                <w:snapToGrid w:val="0"/>
                <w:sz w:val="20"/>
                <w:szCs w:val="20"/>
                <w:highlight w:val="none"/>
              </w:rPr>
            </w:pPr>
          </w:p>
        </w:tc>
        <w:tc>
          <w:tcPr>
            <w:tcW w:w="5244" w:type="dxa"/>
            <w:vMerge w:val="continue"/>
            <w:tcBorders>
              <w:left w:val="nil"/>
              <w:bottom w:val="single" w:color="auto" w:sz="4" w:space="0"/>
              <w:right w:val="single" w:color="auto" w:sz="4" w:space="0"/>
            </w:tcBorders>
            <w:vAlign w:val="center"/>
          </w:tcPr>
          <w:p w14:paraId="55E99BAD">
            <w:pPr>
              <w:widowControl/>
              <w:adjustRightInd w:val="0"/>
              <w:snapToGrid w:val="0"/>
              <w:spacing w:line="300" w:lineRule="exact"/>
              <w:jc w:val="left"/>
              <w:rPr>
                <w:rFonts w:eastAsia="仿宋_GB2312" w:cs="仿宋_GB2312"/>
                <w:snapToGrid w:val="0"/>
                <w:sz w:val="20"/>
                <w:szCs w:val="20"/>
                <w:highlight w:val="none"/>
              </w:rPr>
            </w:pPr>
          </w:p>
        </w:tc>
        <w:tc>
          <w:tcPr>
            <w:tcW w:w="1942" w:type="dxa"/>
            <w:tcBorders>
              <w:left w:val="nil"/>
              <w:bottom w:val="single" w:color="auto" w:sz="4" w:space="0"/>
              <w:right w:val="single" w:color="auto" w:sz="4" w:space="0"/>
            </w:tcBorders>
            <w:vAlign w:val="center"/>
          </w:tcPr>
          <w:p w14:paraId="238842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74C9647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60D736F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5F1CFF2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61E5C2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79E2BD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44DFD39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55735AB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53E26B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9941A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left w:val="nil"/>
              <w:bottom w:val="single" w:color="auto" w:sz="4" w:space="0"/>
              <w:right w:val="single" w:color="auto" w:sz="4" w:space="0"/>
            </w:tcBorders>
            <w:vAlign w:val="center"/>
          </w:tcPr>
          <w:p w14:paraId="34A51EB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6B2988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8012B5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14636D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732A565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20B5952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0EB95D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5175E8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70683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781E2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C6E85E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545741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行政机关在实施行政处罚过程中，有下列情形之一的，应当追究行政过错责任：（一）不具备行政处罚主体资格；</w:t>
            </w:r>
          </w:p>
          <w:p w14:paraId="30C8FE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46025A9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893D0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F52567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53825AE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29AC1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3003CE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472DAF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7.同6。</w:t>
            </w:r>
          </w:p>
          <w:p w14:paraId="16A34A3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C2D708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AA6C10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7D290A7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left w:val="nil"/>
              <w:bottom w:val="single" w:color="auto" w:sz="4" w:space="0"/>
              <w:right w:val="single" w:color="auto" w:sz="4" w:space="0"/>
            </w:tcBorders>
            <w:vAlign w:val="center"/>
          </w:tcPr>
          <w:p w14:paraId="1F43DCD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9CB4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92FF6F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6</w:t>
            </w:r>
          </w:p>
        </w:tc>
        <w:tc>
          <w:tcPr>
            <w:tcW w:w="1060" w:type="dxa"/>
            <w:tcBorders>
              <w:top w:val="single" w:color="auto" w:sz="4" w:space="0"/>
              <w:left w:val="nil"/>
              <w:bottom w:val="single" w:color="auto" w:sz="4" w:space="0"/>
              <w:right w:val="single" w:color="auto" w:sz="4" w:space="0"/>
            </w:tcBorders>
            <w:vAlign w:val="center"/>
          </w:tcPr>
          <w:p w14:paraId="0D380C8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037EE691">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对职业介绍机构、职业技能培训机构或者职业技能考核鉴定机构违反国家有关职业介绍、职业技能培训或者职业技能考核鉴定的规定的行为的处罚</w:t>
            </w:r>
          </w:p>
        </w:tc>
        <w:tc>
          <w:tcPr>
            <w:tcW w:w="685" w:type="dxa"/>
            <w:tcBorders>
              <w:top w:val="single" w:color="auto" w:sz="4" w:space="0"/>
              <w:left w:val="nil"/>
              <w:bottom w:val="single" w:color="auto" w:sz="4" w:space="0"/>
              <w:right w:val="single" w:color="auto" w:sz="4" w:space="0"/>
            </w:tcBorders>
            <w:vAlign w:val="center"/>
          </w:tcPr>
          <w:p w14:paraId="310D97B8">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6B2974A">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F59B5A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6CFC5B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法规】《劳动保障监察条例》（2004年11月1日国务院令第423号公布）第二十八条：职业介绍机构、职业技能培训机构或者职业技能考核鉴定机构违反国家有关职业介绍、职业技能培训或者职业技能考核鉴定的规定的，由劳动保障行政部门责令改正，没收违法所得，并处1万元以上5万元以下的罚款；情节严重的，吊销许可证。未经劳动保障行政部门许可，从事职业介绍、职业技能培训或者职业技能考核鉴定的组织或者个人，由劳动保障行政部门、工商行政管理部门依照国家有关无照经营查处取缔的规定查处取缔。</w:t>
            </w:r>
          </w:p>
        </w:tc>
        <w:tc>
          <w:tcPr>
            <w:tcW w:w="2698" w:type="dxa"/>
            <w:tcBorders>
              <w:top w:val="single" w:color="auto" w:sz="4" w:space="0"/>
              <w:left w:val="nil"/>
              <w:bottom w:val="single" w:color="auto" w:sz="4" w:space="0"/>
              <w:right w:val="single" w:color="auto" w:sz="4" w:space="0"/>
            </w:tcBorders>
            <w:vAlign w:val="center"/>
          </w:tcPr>
          <w:p w14:paraId="778216A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C69F94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19D29B1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4ADC6F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65C57BC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686859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34A503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AF04D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BE61D6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2550D46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8B99E9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61AE4DB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187BA51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5DC8E77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0E77B3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7E8021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2B22F75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227DB76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2D46C74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B2B563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737051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0D8BE79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728045E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2908F7B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5056B7D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2BAAFAE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61886C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719769C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4BDDCBF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08C1059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29C19CB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266124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84EE44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F8DF5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7C4F533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1079133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8645E2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5E784E6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77977D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6F01B2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7E6BC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D07E7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628AD1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13059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7581545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2F46B0A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7045DA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00D3F81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49DAE6A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4021C1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0CC875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2DC5028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014F8F0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6304A0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29CC11B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A5B50F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C9AA3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406F1C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2F562F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8AB087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7.同6。</w:t>
            </w:r>
          </w:p>
          <w:p w14:paraId="4488D15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6F06F14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7BF2CC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21049EA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4C7BD87A">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577C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9A7C0E6">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7</w:t>
            </w:r>
          </w:p>
        </w:tc>
        <w:tc>
          <w:tcPr>
            <w:tcW w:w="1060" w:type="dxa"/>
            <w:tcBorders>
              <w:top w:val="single" w:color="auto" w:sz="4" w:space="0"/>
              <w:left w:val="nil"/>
              <w:bottom w:val="single" w:color="auto" w:sz="4" w:space="0"/>
              <w:right w:val="single" w:color="auto" w:sz="4" w:space="0"/>
            </w:tcBorders>
            <w:vAlign w:val="center"/>
          </w:tcPr>
          <w:p w14:paraId="743D550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CABF448">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对用人单位侵害女职工和未成年工合法权益的处罚</w:t>
            </w:r>
          </w:p>
        </w:tc>
        <w:tc>
          <w:tcPr>
            <w:tcW w:w="685" w:type="dxa"/>
            <w:tcBorders>
              <w:top w:val="single" w:color="auto" w:sz="4" w:space="0"/>
              <w:left w:val="nil"/>
              <w:bottom w:val="single" w:color="auto" w:sz="4" w:space="0"/>
              <w:right w:val="single" w:color="auto" w:sz="4" w:space="0"/>
            </w:tcBorders>
            <w:vAlign w:val="center"/>
          </w:tcPr>
          <w:p w14:paraId="14DB357D">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6A3970C">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5AD2B11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F6ABD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1.【法律】《中华人民共和国劳动法》（1994年7月5日主席令第28号，2018年12月29日第二次修正）第九十五条： 用人单位违反本法对女职工和未成年工的保护规定，侵害其合法权益的，由劳动行政部门责令改正，处以罚款；对女职工或者未成年工造成损害的，应当承担赔偿责任。</w:t>
            </w:r>
          </w:p>
          <w:p w14:paraId="3039C8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二十三条：用人单位有下列行为之一的，由劳动保障行政部门责令改正，按照受侵害的劳动者每人1000元以上5000元以下的标准计算，处以罚款：</w:t>
            </w:r>
          </w:p>
          <w:p w14:paraId="1A2166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（一）安排女职工从事矿山井下劳动、国家规定的第四级体力劳动强度的劳动或者其他禁忌从事的劳动的；</w:t>
            </w:r>
          </w:p>
          <w:p w14:paraId="284417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（二）安排女职工在经期从事高处、低温、冷水作业或者国家规定的第三级体力劳动强度的劳动的；</w:t>
            </w:r>
          </w:p>
          <w:p w14:paraId="38B0418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（三）安排女职工在怀孕期间从事国家规定的第三级体力劳动强度的劳动或者孕期禁忌从事的劳动的；</w:t>
            </w:r>
          </w:p>
          <w:p w14:paraId="070D8D6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（四）安排怀孕7个月以上的女职工夜班劳动或者延长其工作时间的；</w:t>
            </w:r>
          </w:p>
          <w:p w14:paraId="27A43B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（五）女职工生育享受产假少于90天的；</w:t>
            </w:r>
          </w:p>
          <w:p w14:paraId="39A9A7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（六）安排女职工在哺乳未满1周岁的婴儿期间从事国家规定的第三级体力劳动强度的劳动或者哺乳期禁忌从事的其他劳动，以及延长其工作时间或者安排其夜班劳动的；</w:t>
            </w:r>
          </w:p>
          <w:p w14:paraId="050B5E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（七）安排未成年工从事矿山井下、有毒有害、国家规定的第四级体力劳动强度的劳动或者其他禁忌从事的劳动的；</w:t>
            </w:r>
          </w:p>
          <w:p w14:paraId="65130F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（八）未对未成年工定期进行健康检查的。</w:t>
            </w:r>
          </w:p>
          <w:p w14:paraId="131801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女职工劳动保护特别规定》（2012年4月28日国务院令第619号）第十三条：用人单位违反本规定第六条第二款、第七条、第九条第一款规定的，由县级以上人民政府人力资源社会保障行政部门责令限期改正，按照受侵害女职工每人1000元以上5000元以下的标准计算，处以罚款。……</w:t>
            </w:r>
          </w:p>
          <w:p w14:paraId="6E6582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第六条：……对怀孕7个月以上的女职工，用人单位不得延长劳动时间或者安排夜班劳动，并应当在劳动时间内安排一定的休息时间。……</w:t>
            </w:r>
          </w:p>
          <w:p w14:paraId="12496B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七条：女职工生育享受98天产假，其中产前可以休假15天；难产的，增加产假15天；生育多胞胎的，每多生育1个婴儿，增加产假15天。女职工怀孕未满4个月流产的，享受15天产假；怀孕满4个月流产的，享受42天产假。</w:t>
            </w:r>
          </w:p>
          <w:p w14:paraId="142AF6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第九条：对哺乳未满1周岁婴儿的女职工，用人单位不得延长劳动时间或者安排夜班劳动。……</w:t>
            </w:r>
          </w:p>
        </w:tc>
        <w:tc>
          <w:tcPr>
            <w:tcW w:w="2698" w:type="dxa"/>
            <w:tcBorders>
              <w:top w:val="single" w:color="auto" w:sz="4" w:space="0"/>
              <w:left w:val="nil"/>
              <w:bottom w:val="single" w:color="auto" w:sz="4" w:space="0"/>
              <w:right w:val="single" w:color="auto" w:sz="4" w:space="0"/>
            </w:tcBorders>
            <w:vAlign w:val="center"/>
          </w:tcPr>
          <w:p w14:paraId="160D266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66430A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65ABF1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2F1A43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5A73D93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06E38B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611457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453C7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07FA5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6A0539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F9E9B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67AEF4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4EDD0D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5C0C8E5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1063D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5543A2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1BFD65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AD781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7E0178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0F2A68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00B5D9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5EDDA4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7FE8C9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7454AA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16F1C3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F1EF6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14AC18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7A40F2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1D7CA9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009E32D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11CC30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6D7445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6EC68A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B05092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320E48B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22FBED1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3082723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312E8C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6CAE38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4512E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12B2B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07B322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099DCB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748FC5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038C2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1652BF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C3C94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74D565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4FBA95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7391182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BE909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66DB31B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A479B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C597FE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C4FDD3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D3610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D4E48C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43A7B19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0058E47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3B88AD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5AD16A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379A2D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BBE9B3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7A81D2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6A87EBB">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75C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77554B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8</w:t>
            </w:r>
          </w:p>
        </w:tc>
        <w:tc>
          <w:tcPr>
            <w:tcW w:w="1060" w:type="dxa"/>
            <w:tcBorders>
              <w:top w:val="single" w:color="auto" w:sz="4" w:space="0"/>
              <w:left w:val="nil"/>
              <w:bottom w:val="single" w:color="auto" w:sz="4" w:space="0"/>
              <w:right w:val="single" w:color="auto" w:sz="4" w:space="0"/>
            </w:tcBorders>
            <w:vAlign w:val="center"/>
          </w:tcPr>
          <w:p w14:paraId="5B719EF7">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615815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对用人单位非法招用未满十六周岁的未成年人的处罚</w:t>
            </w:r>
          </w:p>
        </w:tc>
        <w:tc>
          <w:tcPr>
            <w:tcW w:w="685" w:type="dxa"/>
            <w:tcBorders>
              <w:top w:val="single" w:color="auto" w:sz="4" w:space="0"/>
              <w:left w:val="nil"/>
              <w:bottom w:val="single" w:color="auto" w:sz="4" w:space="0"/>
              <w:right w:val="single" w:color="auto" w:sz="4" w:space="0"/>
            </w:tcBorders>
            <w:vAlign w:val="center"/>
          </w:tcPr>
          <w:p w14:paraId="483A042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37A2DB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168B5A9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469C1B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1.【法律】《中华人民共和国劳动法》（1994年7月5日主席令第28号，2018年12月29日第二次修正）第九十四条： 用人单位非法招用未满十六周岁的未成年人的，由劳动行政部门责令改正，处以罚款；情节严重的，由市场监督管理部门吊销营业执照。</w:t>
            </w:r>
          </w:p>
          <w:p w14:paraId="40CDC3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2.【行政法规】《禁止使用童工规定》（2002年10月1日国务院令第364号）第六条：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劳动保障行政部门并应当责令用人单位限期将童工送回原居住地交其父母或者其他监护人，所需交通和食宿费用全部由用人单位承担。用人单位经劳动保障行政部门依照前款规定责令限期改正，逾期仍不将童工送交其父母或者其他监护人的，从责令限期改正之日起，由劳动保障行政部门按照每使用一名童工每月处1万元罚款的标准处罚……。  </w:t>
            </w:r>
          </w:p>
        </w:tc>
        <w:tc>
          <w:tcPr>
            <w:tcW w:w="2698" w:type="dxa"/>
            <w:tcBorders>
              <w:top w:val="single" w:color="auto" w:sz="4" w:space="0"/>
              <w:left w:val="nil"/>
              <w:bottom w:val="single" w:color="auto" w:sz="4" w:space="0"/>
              <w:right w:val="single" w:color="auto" w:sz="4" w:space="0"/>
            </w:tcBorders>
            <w:vAlign w:val="center"/>
          </w:tcPr>
          <w:p w14:paraId="7D03C7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49EA6C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7B05D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0B58A9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750798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7011A8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6FC72D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04E352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6E60D2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3DF719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0653B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67F0F0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05738C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4AE6A9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17F007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C7B60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2355E9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C036F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6CD078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382D5C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0C5FA1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BFD7D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53DEA2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250B54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6B9F55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29895C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63E1F5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D6828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30B47D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5FDA73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053F35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5543293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639236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7E9B689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414DA8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D2A115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E45C3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DDC6AB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0B5A5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39974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EBFA2E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37FFA43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40DB5F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2180AC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B9EFB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A69A8F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27878E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2A971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221A6A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08343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3A507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3147898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2F8764C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1C41896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2913201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1B571B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529F4F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2CB421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9D8CE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7EA18C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1A4AAC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236D61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4D33DB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259697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3BF4A002">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DCA0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2D67D45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9</w:t>
            </w:r>
          </w:p>
        </w:tc>
        <w:tc>
          <w:tcPr>
            <w:tcW w:w="1060" w:type="dxa"/>
            <w:tcBorders>
              <w:top w:val="single" w:color="auto" w:sz="4" w:space="0"/>
              <w:left w:val="nil"/>
              <w:bottom w:val="single" w:color="auto" w:sz="4" w:space="0"/>
              <w:right w:val="single" w:color="auto" w:sz="4" w:space="0"/>
            </w:tcBorders>
            <w:vAlign w:val="center"/>
          </w:tcPr>
          <w:p w14:paraId="5033EEA0">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CD6DF0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对单位或个人为不满16周岁的未成年人介绍就业的处罚</w:t>
            </w:r>
          </w:p>
        </w:tc>
        <w:tc>
          <w:tcPr>
            <w:tcW w:w="685" w:type="dxa"/>
            <w:tcBorders>
              <w:top w:val="single" w:color="auto" w:sz="4" w:space="0"/>
              <w:left w:val="nil"/>
              <w:bottom w:val="single" w:color="auto" w:sz="4" w:space="0"/>
              <w:right w:val="single" w:color="auto" w:sz="4" w:space="0"/>
            </w:tcBorders>
            <w:vAlign w:val="center"/>
          </w:tcPr>
          <w:p w14:paraId="66D76D2C">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485324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1C21481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A7E300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禁止使用童工规定》（2002年国务院令第364号）第七条：单位或者个人为不满16周岁的未成年人介绍就业的，由劳动保障行政部门按照每介绍一人处5000元罚款的标准给予处罚；职业中介机构为不满16周岁的未成年人介绍就业的，并由劳动保障行政部门吊销其职业介绍许可证。</w:t>
            </w:r>
          </w:p>
        </w:tc>
        <w:tc>
          <w:tcPr>
            <w:tcW w:w="2698" w:type="dxa"/>
            <w:tcBorders>
              <w:top w:val="single" w:color="auto" w:sz="4" w:space="0"/>
              <w:left w:val="nil"/>
              <w:bottom w:val="single" w:color="auto" w:sz="4" w:space="0"/>
              <w:right w:val="single" w:color="auto" w:sz="4" w:space="0"/>
            </w:tcBorders>
            <w:vAlign w:val="center"/>
          </w:tcPr>
          <w:p w14:paraId="1F9B017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1A83A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33A8F5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BC5C5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21C67AA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AAFF8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5F93D7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40B90B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A52C1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2FA03B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6B92F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37E38D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2693B9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E41AE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1C25EC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90541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43786F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904A1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0C6C62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1F72B3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56C727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0083B9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6B0FD1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5ED9AF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199015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7E8485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FA90E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7FE12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284A01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4D2F134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76E0747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DCB3A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2D38AA1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7CF4E0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6420DF3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0462EA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F2F8C2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5617901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A0411D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1ED3E6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314E9E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0852E18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013D86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0DF54A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31D73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67571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AD72C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12366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2F142AA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897E0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8526E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30D9E1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1AAFCB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7D1E058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40780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C56367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133E5AA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26A69AF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0D714E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行政机关工作人员违反前款规定，应当承担行政过错责任。7.同6。</w:t>
            </w:r>
          </w:p>
          <w:p w14:paraId="5EA49B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632A50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3959AD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8B17EB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16ADE5B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9AC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23D8BA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10</w:t>
            </w:r>
          </w:p>
        </w:tc>
        <w:tc>
          <w:tcPr>
            <w:tcW w:w="1060" w:type="dxa"/>
            <w:tcBorders>
              <w:top w:val="single" w:color="auto" w:sz="4" w:space="0"/>
              <w:left w:val="nil"/>
              <w:bottom w:val="single" w:color="auto" w:sz="4" w:space="0"/>
              <w:right w:val="single" w:color="auto" w:sz="4" w:space="0"/>
            </w:tcBorders>
            <w:vAlign w:val="center"/>
          </w:tcPr>
          <w:p w14:paraId="20B8333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69615F6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对用人单位未按规定保存录用登记材料或者伪造登记材料的处罚</w:t>
            </w:r>
          </w:p>
        </w:tc>
        <w:tc>
          <w:tcPr>
            <w:tcW w:w="685" w:type="dxa"/>
            <w:tcBorders>
              <w:top w:val="single" w:color="auto" w:sz="4" w:space="0"/>
              <w:left w:val="nil"/>
              <w:bottom w:val="single" w:color="auto" w:sz="4" w:space="0"/>
              <w:right w:val="single" w:color="auto" w:sz="4" w:space="0"/>
            </w:tcBorders>
            <w:vAlign w:val="center"/>
          </w:tcPr>
          <w:p w14:paraId="12629264">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6C6CBEF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2416171B">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6EB8DC7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禁止使用童工规定》（2002年国务院令第364号）第四条：用人单位招用人员时，必须核查被招用人员的身份证；对不满16周岁的未成年人，一律不得录用。用人单位录用人员的录用登记、核查材料应当妥善保管。</w:t>
            </w:r>
          </w:p>
          <w:p w14:paraId="69083C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第八条：用人单位未按照本规定第四条的规定保存录用登记材料，或者伪造录用登记材料的，由劳动保障行政部门处1万元的罚款。</w:t>
            </w:r>
          </w:p>
        </w:tc>
        <w:tc>
          <w:tcPr>
            <w:tcW w:w="2698" w:type="dxa"/>
            <w:tcBorders>
              <w:top w:val="single" w:color="auto" w:sz="4" w:space="0"/>
              <w:left w:val="nil"/>
              <w:bottom w:val="single" w:color="auto" w:sz="4" w:space="0"/>
              <w:right w:val="single" w:color="auto" w:sz="4" w:space="0"/>
            </w:tcBorders>
            <w:vAlign w:val="center"/>
          </w:tcPr>
          <w:p w14:paraId="214CFDE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17CF7BA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9BC20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1E1550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65BCD3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AFDFC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71864C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0E41A6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69756A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683CE60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309532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6DA9E9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780EA6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C4205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16F9CB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CF295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8EE77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6A05EF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77ED369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71AC7B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014582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16779A2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525DBE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3D3E8C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C96413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26E106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5AEF94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57490A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67469D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3E1864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B73B5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413181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99FF31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0564DD5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26B9B53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265403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02F1FA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88BA95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44D4313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41F698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CE68F2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7F1E03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1DC55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C3D9D2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973175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0E879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DB08A7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EE062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59883C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1493E3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1E915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4FB08C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29AD80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633CBC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5A860B9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687B3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2BABB2A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0511236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FD74D0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329A0D4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3458CF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1807C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1171F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D35E5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281CA96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281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FF8C81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11</w:t>
            </w:r>
          </w:p>
        </w:tc>
        <w:tc>
          <w:tcPr>
            <w:tcW w:w="1060" w:type="dxa"/>
            <w:tcBorders>
              <w:top w:val="single" w:color="auto" w:sz="4" w:space="0"/>
              <w:left w:val="nil"/>
              <w:bottom w:val="single" w:color="auto" w:sz="4" w:space="0"/>
              <w:right w:val="single" w:color="auto" w:sz="4" w:space="0"/>
            </w:tcBorders>
            <w:vAlign w:val="center"/>
          </w:tcPr>
          <w:p w14:paraId="6571E368">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60E49310">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对无营业执照、被依法吊销营业执照的单位以及未依法登记、备案的单位使用童工或者介绍童工就业的处罚</w:t>
            </w:r>
          </w:p>
        </w:tc>
        <w:tc>
          <w:tcPr>
            <w:tcW w:w="685" w:type="dxa"/>
            <w:tcBorders>
              <w:top w:val="single" w:color="auto" w:sz="4" w:space="0"/>
              <w:left w:val="nil"/>
              <w:bottom w:val="single" w:color="auto" w:sz="4" w:space="0"/>
              <w:right w:val="single" w:color="auto" w:sz="4" w:space="0"/>
            </w:tcBorders>
            <w:vAlign w:val="center"/>
          </w:tcPr>
          <w:p w14:paraId="0177BFE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26E623D">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1DA36316">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445DF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禁止使用童工规定》（2002年国务院令第364号）第六条：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劳动保障行政部门并应当责令用人单位限期将童工送回原居住地交其父母或者其他监护人，所需交通和食宿费用全部由用人单位承担。</w:t>
            </w:r>
          </w:p>
          <w:p w14:paraId="4078D2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用人单位经劳动保障行政部门依照前款规定责令限期改正，逾期仍不将童工送交其父母或者其他监护人的，从责令限期改正之日起，由劳动保障行政部门按照每使用一名童工每月处1万元罚款的标准处罚，并由工商行政管理部门吊销其营业执照或者由民政部门撤销民办非企业单位登记；用人单位是国家机关、事业单位的，由有关单位依法对直接负责的主管人员和其他直接责任人员给予降级或者撤职的行政处分或者纪律处分。</w:t>
            </w:r>
          </w:p>
          <w:p w14:paraId="5A3AF7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七条：单位或者个人为不满16周岁的未成年人介绍就业的，由劳动保障行政部门按照每介绍一人处5000元罚款的标准给予处罚；职业中介机构为不满16周岁的未成年人介绍就业的，并由劳动保障行政部门吊销其职业介绍许可证。</w:t>
            </w:r>
          </w:p>
          <w:p w14:paraId="2495C0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第八条：用人单位未按照本规定第四条的规定保存录用登记材料，或者伪造录用登记材料的，由劳动保障行政部门处1万元的罚款。</w:t>
            </w:r>
          </w:p>
          <w:p w14:paraId="3AAD98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九条：无营业执照、被依法吊销营业执照的单位以及未依法登记、备案的单位使用童工或者介绍童工就业的，依照本规定第六条、第七条、第八条规定的标准加一倍罚款，该非法单位由有关的行政主管部门予以取缔。</w:t>
            </w:r>
          </w:p>
          <w:p w14:paraId="1FFC51CC">
            <w:pPr>
              <w:widowControl/>
              <w:adjustRightInd w:val="0"/>
              <w:snapToGrid w:val="0"/>
              <w:spacing w:line="300" w:lineRule="exact"/>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1334E2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00FB3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4FBB01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334068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559D97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08B993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0EF5AE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5F09C89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54A27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49C1DAB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C4BAE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5E09BF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6FE1AC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4E980EB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2A0F8E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61696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1DCA12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0A9CDFB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775530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F957F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286207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4AA092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628B31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35DEAA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D969A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38EB94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661EC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5C396C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2269CF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75E4E3D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06A7BA0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3E3082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A87434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D5A5A0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23BB3B5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BA3E2D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0FA9A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645138D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7A4592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57D17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67ACB3A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47ABBA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6AAF6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EB194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51801D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1625C5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E7E97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05A4B9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1CBCB4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5F696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78CF8D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6177C3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67C006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05AB2DC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0DB58E3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1DC55A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09AD97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5424996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78CC951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443CA6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2044F6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C4743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6D2F11A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BAC00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1DA5C61">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07B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B8B2FF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12</w:t>
            </w:r>
          </w:p>
        </w:tc>
        <w:tc>
          <w:tcPr>
            <w:tcW w:w="1060" w:type="dxa"/>
            <w:tcBorders>
              <w:top w:val="single" w:color="auto" w:sz="4" w:space="0"/>
              <w:left w:val="nil"/>
              <w:bottom w:val="single" w:color="auto" w:sz="4" w:space="0"/>
              <w:right w:val="single" w:color="auto" w:sz="4" w:space="0"/>
            </w:tcBorders>
            <w:vAlign w:val="center"/>
          </w:tcPr>
          <w:p w14:paraId="3F27B9E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4FA8E5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对用人单位制定的劳动规章制度违反法律、法规的处罚</w:t>
            </w:r>
          </w:p>
        </w:tc>
        <w:tc>
          <w:tcPr>
            <w:tcW w:w="685" w:type="dxa"/>
            <w:tcBorders>
              <w:top w:val="single" w:color="auto" w:sz="4" w:space="0"/>
              <w:left w:val="nil"/>
              <w:bottom w:val="single" w:color="auto" w:sz="4" w:space="0"/>
              <w:right w:val="single" w:color="auto" w:sz="4" w:space="0"/>
            </w:tcBorders>
            <w:vAlign w:val="center"/>
          </w:tcPr>
          <w:p w14:paraId="3813E13E">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0E3C304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59958C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E37FE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八十九条：用人单位制定的劳动规章制度违反法律、法规规定的，由劳动行政部门给予警告，责令改正；对劳动者造成损害的，应当承担赔偿责任。</w:t>
            </w:r>
          </w:p>
          <w:p w14:paraId="435EE85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法律】《中华人民共和国劳动合同法》（2007年6月29日通过，2012年12月28日主席令第73号修正）第八十条：用人单位直接涉及劳动者切身利益的规章制度违反法律、法规规定的，由劳动行政部门责令改正，给予警告；给劳动者造成损害的，应当承担赔偿责任。</w:t>
            </w:r>
          </w:p>
        </w:tc>
        <w:tc>
          <w:tcPr>
            <w:tcW w:w="2698" w:type="dxa"/>
            <w:tcBorders>
              <w:top w:val="single" w:color="auto" w:sz="4" w:space="0"/>
              <w:left w:val="nil"/>
              <w:bottom w:val="single" w:color="auto" w:sz="4" w:space="0"/>
              <w:right w:val="single" w:color="auto" w:sz="4" w:space="0"/>
            </w:tcBorders>
            <w:vAlign w:val="center"/>
          </w:tcPr>
          <w:p w14:paraId="742FCB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2723CF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3E76E5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14B753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265948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B8921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50B6AE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2FDC4A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6E3A35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4F914A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D91D4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44F19C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660462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98A8A3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4F7854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55CDF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0172B89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08C43C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A27B5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3AE86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4DBCFF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3CCD96D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1CA7C2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140B5B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CB464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7B4437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6ED014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5966D9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1F5A19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3B4B9AB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611B7AD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171DE1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74519E5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CD5556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CFE963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190DA9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B6D647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0224421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7D8DA6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47DAF2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E2262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49D4A15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5B9D03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F6136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6F537A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785436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2470B8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909BEA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03E01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C4710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7102D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E12E3A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AF838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05287E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608023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0983BA3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DB2FDF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6FE107D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3A5979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行政机关工作人员违反前款规定，应当承担行政过错责任。7.同6。</w:t>
            </w:r>
          </w:p>
          <w:p w14:paraId="05CDA03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6C93D3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1665AB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0A641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7CA809A">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479BD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D7EC0B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w:t>
            </w:r>
            <w:r>
              <w:rPr>
                <w:rFonts w:hint="eastAsia" w:eastAsia="仿宋_GB2312" w:cs="仿宋_GB2312"/>
                <w:snapToGrid w:val="0"/>
                <w:sz w:val="20"/>
                <w:szCs w:val="20"/>
                <w:highlight w:val="none"/>
                <w:lang w:val="en-US" w:eastAsia="zh-CN"/>
              </w:rPr>
              <w:t>3</w:t>
            </w:r>
          </w:p>
        </w:tc>
        <w:tc>
          <w:tcPr>
            <w:tcW w:w="1060" w:type="dxa"/>
            <w:tcBorders>
              <w:top w:val="single" w:color="auto" w:sz="4" w:space="0"/>
              <w:left w:val="nil"/>
              <w:bottom w:val="single" w:color="auto" w:sz="4" w:space="0"/>
              <w:right w:val="single" w:color="auto" w:sz="4" w:space="0"/>
            </w:tcBorders>
            <w:vAlign w:val="center"/>
          </w:tcPr>
          <w:p w14:paraId="76510EB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0FBFFE2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对用人单位违反《劳动合同法》规定，以担保或者其他名义向劳动者收取财物和劳动者依法解除或者终止劳动合同，用人单位扣押劳动者档案或者其他物品的处罚</w:t>
            </w:r>
          </w:p>
        </w:tc>
        <w:tc>
          <w:tcPr>
            <w:tcW w:w="685" w:type="dxa"/>
            <w:tcBorders>
              <w:top w:val="single" w:color="auto" w:sz="4" w:space="0"/>
              <w:left w:val="nil"/>
              <w:bottom w:val="single" w:color="auto" w:sz="4" w:space="0"/>
              <w:right w:val="single" w:color="auto" w:sz="4" w:space="0"/>
            </w:tcBorders>
            <w:vAlign w:val="center"/>
          </w:tcPr>
          <w:p w14:paraId="68E4FD16">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F969C50">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3879B35D">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7640F8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【法律】《中华人民共和国劳动合同法》（2007年6月29日通过，2012年12月28日主席令第73号修正）第八十四条：……</w:t>
            </w:r>
            <w:r>
              <w:rPr>
                <w:rFonts w:eastAsia="仿宋_GB2312" w:cs="仿宋_GB2312"/>
                <w:snapToGrid w:val="0"/>
                <w:sz w:val="20"/>
                <w:szCs w:val="20"/>
                <w:highlight w:val="none"/>
              </w:rPr>
              <w:t>用人单位违反本法规定，以担保或者其他名义向劳动者收取财物的，由劳动行政部门责令限期退还劳动者本人，并以每人五百元以上二千元以下的标准处以罚款；给劳动者造成损害的，应当承担赔偿责任。</w:t>
            </w:r>
          </w:p>
          <w:p w14:paraId="67D10E5D">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劳动者依法解除或者终止劳动合同，用人单位扣押劳动者档案或者其他物品的，依照前款规定处罚。</w:t>
            </w:r>
          </w:p>
          <w:p w14:paraId="0E2D908B">
            <w:pPr>
              <w:widowControl/>
              <w:adjustRightInd w:val="0"/>
              <w:snapToGrid w:val="0"/>
              <w:spacing w:line="300" w:lineRule="exact"/>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339549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6E3656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04932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200087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43CCC7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06F419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AFEA28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32D765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675024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51D30D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57C12C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03264B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63B23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D2906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4CC923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2A90EF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0CCEAE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D859E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5517D5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2F62B7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0ADAF1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BC054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304CD8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41846F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DC01C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3B3719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21834E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4598A9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750FDB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278122D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52C875C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8FA608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735D4C1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40CDB0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2EB355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4CCECC7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A4425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64BCCA3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140A42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35ED0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5B161C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735A74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15179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07A2D6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F70E6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735A39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682227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D114C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4393B9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706BCA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404F12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6EF8D49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12CD234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374EFA7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248795E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12B0D5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1993FCE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0039FB7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0DC22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6AE23A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FF12E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F84B5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09FA75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9D4DF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63DBC58C">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BECA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7352555">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14</w:t>
            </w:r>
          </w:p>
        </w:tc>
        <w:tc>
          <w:tcPr>
            <w:tcW w:w="1060" w:type="dxa"/>
            <w:tcBorders>
              <w:top w:val="single" w:color="auto" w:sz="4" w:space="0"/>
              <w:left w:val="nil"/>
              <w:bottom w:val="single" w:color="auto" w:sz="4" w:space="0"/>
              <w:right w:val="single" w:color="auto" w:sz="4" w:space="0"/>
            </w:tcBorders>
            <w:vAlign w:val="center"/>
          </w:tcPr>
          <w:p w14:paraId="7EC0CF2B">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9B543BB">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对未经许可，擅自经营劳务派遣业务的处罚</w:t>
            </w:r>
          </w:p>
        </w:tc>
        <w:tc>
          <w:tcPr>
            <w:tcW w:w="685" w:type="dxa"/>
            <w:tcBorders>
              <w:top w:val="single" w:color="auto" w:sz="4" w:space="0"/>
              <w:left w:val="nil"/>
              <w:bottom w:val="single" w:color="auto" w:sz="4" w:space="0"/>
              <w:right w:val="single" w:color="auto" w:sz="4" w:space="0"/>
            </w:tcBorders>
            <w:vAlign w:val="center"/>
          </w:tcPr>
          <w:p w14:paraId="277E4853">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B6DD07C">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AEE771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18714D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九十二条：违反本法规定，未经许可，擅自经营劳务派遣业务的，由劳动行政部门责令停止违法行为，没收违法所得，并处违法所得一倍以上五倍以下的罚款；没有违法所得的，可以处五万元以下的罚款。……</w:t>
            </w:r>
          </w:p>
          <w:p w14:paraId="03137E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劳务派遣行政许可实施办法》（2013年6月20日人力资源社会保障部令第19号）第三十一条：任何单位和个人违反《中华人民共和国劳动合同法》的规定，未经许可，擅自经营劳务派遣业务的，由人力资源社会保障行政部门责令停止违法行为，没收违法所得，并处违法所得1倍以上5倍以下的罚款；没有违法所得的，可以处5万元以下的罚款。</w:t>
            </w:r>
          </w:p>
        </w:tc>
        <w:tc>
          <w:tcPr>
            <w:tcW w:w="2698" w:type="dxa"/>
            <w:tcBorders>
              <w:top w:val="single" w:color="auto" w:sz="4" w:space="0"/>
              <w:left w:val="nil"/>
              <w:bottom w:val="single" w:color="auto" w:sz="4" w:space="0"/>
              <w:right w:val="single" w:color="auto" w:sz="4" w:space="0"/>
            </w:tcBorders>
            <w:vAlign w:val="center"/>
          </w:tcPr>
          <w:p w14:paraId="03D06C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59DE2F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0C3D6F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76C27F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75B585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4D556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44B042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26C45FC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F9134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335F3F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CA57E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11AC79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098DD0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142A77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477DE3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30A518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65CDC3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2A1D22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CE522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215DB5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72C467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4FE671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3C60BF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6EC76A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07D96A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491E62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1A0386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43B508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5FF46D6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2983722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09163AE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3D7733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4E5621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D3D5BD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DF8CA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3A52E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7C598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7C55DDE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F331C0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83181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0418C54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7FE473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569827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10087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4EB4E8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34A77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671C8F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78FAF4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5E5B97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A8CAE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21D3D4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47FEF9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4B7FBF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6353FD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C19AF2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670426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52C96EF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0A2422A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E76D64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12649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771C28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3D31A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E65B2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605925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3E08787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C73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74FCCEF">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15</w:t>
            </w:r>
          </w:p>
        </w:tc>
        <w:tc>
          <w:tcPr>
            <w:tcW w:w="1060" w:type="dxa"/>
            <w:tcBorders>
              <w:top w:val="single" w:color="auto" w:sz="4" w:space="0"/>
              <w:left w:val="nil"/>
              <w:bottom w:val="single" w:color="auto" w:sz="4" w:space="0"/>
              <w:right w:val="single" w:color="auto" w:sz="4" w:space="0"/>
            </w:tcBorders>
            <w:vAlign w:val="center"/>
          </w:tcPr>
          <w:p w14:paraId="48EF16E8">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E03142E">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对劳务派遣单位、用工单位违反法律、法规有关劳务派遣规定的处罚</w:t>
            </w:r>
          </w:p>
        </w:tc>
        <w:tc>
          <w:tcPr>
            <w:tcW w:w="685" w:type="dxa"/>
            <w:tcBorders>
              <w:top w:val="single" w:color="auto" w:sz="4" w:space="0"/>
              <w:left w:val="nil"/>
              <w:bottom w:val="single" w:color="auto" w:sz="4" w:space="0"/>
              <w:right w:val="single" w:color="auto" w:sz="4" w:space="0"/>
            </w:tcBorders>
            <w:vAlign w:val="center"/>
          </w:tcPr>
          <w:p w14:paraId="04BF77A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92C4B1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nil"/>
              <w:bottom w:val="single" w:color="auto" w:sz="4" w:space="0"/>
              <w:right w:val="single" w:color="auto" w:sz="4" w:space="0"/>
            </w:tcBorders>
            <w:vAlign w:val="center"/>
          </w:tcPr>
          <w:p w14:paraId="0722A3B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750490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九十二条：……劳务派遣单位、用工单位违反本法有关劳务派遣规定的，由劳动行政部门责令限期改正；限期不改正的，以每人五千元以上一万元以下的标准处以罚款，对劳务派遣单位，吊销其劳务派遣业务经营许可证。用工单位给被派遣劳动者造成损害的，劳务派遣单位与用工单位承担连带赔偿责任。</w:t>
            </w:r>
          </w:p>
          <w:p w14:paraId="5CE35F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中华人民共和国劳动合同法实施条例》（2008年国务院令第535号公布）第三十五条：用工单位违反劳动合同法和本条例有关劳务派遣规定的，由劳动行政部门和其他有关主管部门责令改正；情节严重的，以每位被派遣劳动者1000元以上5000元以下的标准处以罚款；给被派遣劳动者造成损害的，劳务派遣单位和用工单位承担连带赔偿责任。</w:t>
            </w:r>
          </w:p>
          <w:p w14:paraId="61D21A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部门规章】《劳务派遣暂行规定》（2014年人力资源社会保障部令第22号公布）第二十条：劳务派遣单位、用工单位违反劳动合同法和劳动合同法实施条例有关劳务派遣规定的，按照劳动合同法第九十二条规定执行。</w:t>
            </w:r>
          </w:p>
          <w:p w14:paraId="1CAA03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劳务派遣行政许可实施办法》（2013年6月20日人力资源社会保障部令第19号）第三十二条：劳务派遣单位违反《中华人民共和国劳动合同法》有关劳务派遣规定的，由人力资源社会保障行政部门责令限期改正；逾期不改正的，以每人5000元以上1万元以下的标准处以罚款，并吊销其《劳务派遣经营许可证》。</w:t>
            </w:r>
          </w:p>
        </w:tc>
        <w:tc>
          <w:tcPr>
            <w:tcW w:w="2698" w:type="dxa"/>
            <w:tcBorders>
              <w:top w:val="single" w:color="auto" w:sz="4" w:space="0"/>
              <w:left w:val="nil"/>
              <w:bottom w:val="single" w:color="auto" w:sz="4" w:space="0"/>
              <w:right w:val="single" w:color="auto" w:sz="4" w:space="0"/>
            </w:tcBorders>
            <w:vAlign w:val="center"/>
          </w:tcPr>
          <w:p w14:paraId="7253FE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75014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27C77A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7986B2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1546A9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7113AD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1FCCF83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5D584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E2D0C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5244B0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859E4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0AB87D6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2ADF57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56D80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97F2B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E1194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5881F2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150AF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567AE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61E66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03FE35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5C8EC5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47A3D8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0C77E0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390E9AD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0003C9A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06DE75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48EBF2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1553ED3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15A7905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3C2CFBA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7449009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B38EB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08A0A3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0F17B9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41E0F0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18829C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87C0B8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076F9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64AD3F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72187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3B3FCDA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275067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67A27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681F8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52DB318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123B0B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281012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230A59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0A65F4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B41638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25A7DC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7A5B0F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6D2DE75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EC5635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742D1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73CC07D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05BDF30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0D38568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3911B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54ACE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6C805E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B4A41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1E2ED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18E01EB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B800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39AC3707">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16</w:t>
            </w:r>
          </w:p>
        </w:tc>
        <w:tc>
          <w:tcPr>
            <w:tcW w:w="1060" w:type="dxa"/>
            <w:tcBorders>
              <w:top w:val="single" w:color="auto" w:sz="4" w:space="0"/>
              <w:left w:val="nil"/>
              <w:bottom w:val="single" w:color="auto" w:sz="4" w:space="0"/>
              <w:right w:val="single" w:color="auto" w:sz="4" w:space="0"/>
            </w:tcBorders>
            <w:vAlign w:val="center"/>
          </w:tcPr>
          <w:p w14:paraId="64BFDCBD">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94065D4">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对用工单位未经法定程序确定并公示使用被派遣劳动者的辅助性岗位的行为的处罚</w:t>
            </w:r>
          </w:p>
        </w:tc>
        <w:tc>
          <w:tcPr>
            <w:tcW w:w="685" w:type="dxa"/>
            <w:tcBorders>
              <w:top w:val="single" w:color="auto" w:sz="4" w:space="0"/>
              <w:left w:val="nil"/>
              <w:bottom w:val="single" w:color="auto" w:sz="4" w:space="0"/>
              <w:right w:val="single" w:color="auto" w:sz="4" w:space="0"/>
            </w:tcBorders>
            <w:vAlign w:val="center"/>
          </w:tcPr>
          <w:p w14:paraId="093AEB2F">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AE34979">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nil"/>
              <w:bottom w:val="single" w:color="auto" w:sz="4" w:space="0"/>
              <w:right w:val="single" w:color="auto" w:sz="4" w:space="0"/>
            </w:tcBorders>
            <w:vAlign w:val="center"/>
          </w:tcPr>
          <w:p w14:paraId="5F6B562A">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514D5F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劳务派遣暂行规定》（2014年人力资源社会保障部令第22号公布）第三条第三款：用工单位决定使用被派遣劳动者的辅助性岗位，应当经职工代表大会或者全体职工讨论，提出方案和意见，与工会或者职工代表平等协商确定，并在用工单位内公示。</w:t>
            </w:r>
          </w:p>
          <w:p w14:paraId="5544F43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第二十二条：用工单位违反本规定第三条第三款规定的，由人力资源社会保障行政部门责令改正，给予警告；给被派遣劳动者造成损害的，依法承担赔偿责任。</w:t>
            </w:r>
          </w:p>
        </w:tc>
        <w:tc>
          <w:tcPr>
            <w:tcW w:w="2698" w:type="dxa"/>
            <w:tcBorders>
              <w:top w:val="single" w:color="auto" w:sz="4" w:space="0"/>
              <w:left w:val="nil"/>
              <w:bottom w:val="single" w:color="auto" w:sz="4" w:space="0"/>
              <w:right w:val="single" w:color="auto" w:sz="4" w:space="0"/>
            </w:tcBorders>
            <w:vAlign w:val="center"/>
          </w:tcPr>
          <w:p w14:paraId="5CC82CB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62202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3D3D6F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23D5C3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0553E4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3E4C78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479A2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F40CD0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CEF29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2B7A31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B8CAC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31B598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638357C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21A16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67124B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D2852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BB1D8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D159E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13D75A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D3967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7D0001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7A6D66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00EBC4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08C19C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60DC8F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5253A0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1BC62A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45ECD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0379992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6F976D4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F18B36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4B228B4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C39F5D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54CEDA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31B7DD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DA8A96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0D8C9C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F0EFC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F9CB53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1141A0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6C591C9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225D63F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B6F69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23EE403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6950C9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96731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561114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2DEC9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373C239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B7FA4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52A61E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12B2472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6F3C882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49640F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0B216DA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DC96B4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CB8B13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19764A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0B3579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26D65E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5ABED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7E318A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4F54166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7CC7B3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0CB1DCD2">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DF49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BAB5F4E">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17</w:t>
            </w:r>
          </w:p>
        </w:tc>
        <w:tc>
          <w:tcPr>
            <w:tcW w:w="1060" w:type="dxa"/>
            <w:tcBorders>
              <w:top w:val="single" w:color="auto" w:sz="4" w:space="0"/>
              <w:left w:val="nil"/>
              <w:bottom w:val="single" w:color="auto" w:sz="4" w:space="0"/>
              <w:right w:val="single" w:color="auto" w:sz="4" w:space="0"/>
            </w:tcBorders>
            <w:vAlign w:val="center"/>
          </w:tcPr>
          <w:p w14:paraId="25C6405B">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10C24B7">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对劳务派遣单位采取非法或不正当手段取得劳务派遣行政许可、转让《劳务派遣经营许可证》行为的处罚</w:t>
            </w:r>
          </w:p>
        </w:tc>
        <w:tc>
          <w:tcPr>
            <w:tcW w:w="685" w:type="dxa"/>
            <w:tcBorders>
              <w:top w:val="single" w:color="auto" w:sz="4" w:space="0"/>
              <w:left w:val="nil"/>
              <w:bottom w:val="single" w:color="auto" w:sz="4" w:space="0"/>
              <w:right w:val="single" w:color="auto" w:sz="4" w:space="0"/>
            </w:tcBorders>
            <w:vAlign w:val="center"/>
          </w:tcPr>
          <w:p w14:paraId="64B44AD7">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56E87203">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nil"/>
              <w:bottom w:val="single" w:color="auto" w:sz="4" w:space="0"/>
              <w:right w:val="single" w:color="auto" w:sz="4" w:space="0"/>
            </w:tcBorders>
            <w:vAlign w:val="center"/>
          </w:tcPr>
          <w:p w14:paraId="310B5629">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072E4F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劳务派遣行政许可实施办法》（2013年6月20日人力资源社会保障部令第19号）第三十三条：劳务派遣单位有下列情形之一的，由人力资源社会保障行政部门处1万元以下的罚款；情节严重的，处1万元以上3万元以下的罚款：（一）涂改、倒卖、出租、出借《劳务派遣经营许可证》，或者以其他形式非法转让《劳务派遣经营许可证》的；（二）隐瞒真实情况或者提交虚假材料取得劳务派遣行政许可的；（三）以欺骗、贿赂等不正当手段取得劳务派遣行政许可的。</w:t>
            </w:r>
          </w:p>
        </w:tc>
        <w:tc>
          <w:tcPr>
            <w:tcW w:w="2698" w:type="dxa"/>
            <w:tcBorders>
              <w:top w:val="single" w:color="auto" w:sz="4" w:space="0"/>
              <w:left w:val="nil"/>
              <w:bottom w:val="single" w:color="auto" w:sz="4" w:space="0"/>
              <w:right w:val="single" w:color="auto" w:sz="4" w:space="0"/>
            </w:tcBorders>
            <w:vAlign w:val="center"/>
          </w:tcPr>
          <w:p w14:paraId="1A719F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7104312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076E453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680CB2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0AD5F3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3333D7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6468FA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13827A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399A5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055A0D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96647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4FEC1E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40105D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03C9377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1D283C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4D760A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4BCE46C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1A86C4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332F0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399351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605251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389CC9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075709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64E1B8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4B72F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174A7B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539EBD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0893A9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623CE88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458E8AD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0F9C884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7D6D907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473D1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3D8601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2C87C09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1C5968B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3E0EE6E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CE9D56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11D531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E2133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F1ED8B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0C5B6B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0A0FCB4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7AD758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2642FD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2F0BEF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6CF8A2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1A320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507094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403CB6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CDFF3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071D6A7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8E1CF6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7F4FA9D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75358CB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31D0E6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44CC9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5AD673D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9FA3E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F59FB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DC446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1019DB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3301C6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F195C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090799C4">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42B9B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0058F08">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w:t>
            </w:r>
            <w:r>
              <w:rPr>
                <w:rFonts w:hint="eastAsia" w:eastAsia="仿宋_GB2312" w:cs="仿宋_GB2312"/>
                <w:snapToGrid w:val="0"/>
                <w:sz w:val="20"/>
                <w:szCs w:val="20"/>
                <w:highlight w:val="none"/>
                <w:lang w:val="en-US" w:eastAsia="zh-CN"/>
              </w:rPr>
              <w:t>8</w:t>
            </w:r>
          </w:p>
        </w:tc>
        <w:tc>
          <w:tcPr>
            <w:tcW w:w="1060" w:type="dxa"/>
            <w:tcBorders>
              <w:top w:val="single" w:color="auto" w:sz="4" w:space="0"/>
              <w:left w:val="nil"/>
              <w:bottom w:val="single" w:color="auto" w:sz="4" w:space="0"/>
              <w:right w:val="single" w:color="auto" w:sz="4" w:space="0"/>
            </w:tcBorders>
            <w:vAlign w:val="center"/>
          </w:tcPr>
          <w:p w14:paraId="14415DE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72BE96F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对用人单位违反劳动合同法有关建立职工名册规定的处罚</w:t>
            </w:r>
          </w:p>
        </w:tc>
        <w:tc>
          <w:tcPr>
            <w:tcW w:w="685" w:type="dxa"/>
            <w:tcBorders>
              <w:top w:val="single" w:color="auto" w:sz="4" w:space="0"/>
              <w:left w:val="nil"/>
              <w:bottom w:val="single" w:color="auto" w:sz="4" w:space="0"/>
              <w:right w:val="single" w:color="auto" w:sz="4" w:space="0"/>
            </w:tcBorders>
            <w:vAlign w:val="center"/>
          </w:tcPr>
          <w:p w14:paraId="6492D776">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51611EC">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1C2BD7C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4715EC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1.【法律】《中华人民共和国劳动合同法》（2007年6月29日通过，2012年12月28日主席令第73号修正）第七条： 用人单位自用工之日起即与劳动者建立劳动关系。用人单位应当建立职工名册备查。</w:t>
            </w:r>
          </w:p>
          <w:p w14:paraId="7BC2BA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中华人民共和国劳动合同法实施条例》（2008年国务院令第535号公布）第八条：劳动合同法第七条规定的职工名册，应当包括劳动者姓名、性别、公民身份号码、户籍地址及现住址、联系方式、用工形式、用工起始时间、劳动合同期限等内容。</w:t>
            </w:r>
          </w:p>
          <w:p w14:paraId="5F59CD9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第三十三条：用人单位违反劳动合同法有关建立职工名册规定的，由劳动行政部门责令限期改正；逾期不改正的，由劳动行政部门处2000元以上2万元以下的罚款。</w:t>
            </w:r>
          </w:p>
          <w:p w14:paraId="5E8A78F6">
            <w:pPr>
              <w:widowControl/>
              <w:adjustRightInd w:val="0"/>
              <w:snapToGrid w:val="0"/>
              <w:spacing w:line="300" w:lineRule="exact"/>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6185F1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084D0D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1F95CA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9E5EF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03FB37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64A028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00AB47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7CFDC1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F8899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7DDA1E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29B3D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61914E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4821A3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4EED1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47581D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2709B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5E785C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0A9B07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167C8A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7C6864E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06FD67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90536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3B37D8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5B0952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12EA17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228597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50A3AE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5289D1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344FD8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4219524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2F1830B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411101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BB3A54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25B1F2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745A1B7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240B47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34E7A9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78BA1CF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4B2F9E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B15C9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140863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4CA3B9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8BC5E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159617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65D74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39EC9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51A03C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E9B254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00653E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00197E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42A132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D415BA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753BFD7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3CBED6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94AE96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01FFE5D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6E4F3B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65BF15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50F9E5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328B0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13496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7740744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3864F9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0AB853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2BBCA0F5">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BEB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6E5C776">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19</w:t>
            </w:r>
          </w:p>
        </w:tc>
        <w:tc>
          <w:tcPr>
            <w:tcW w:w="1060" w:type="dxa"/>
            <w:tcBorders>
              <w:top w:val="single" w:color="auto" w:sz="4" w:space="0"/>
              <w:left w:val="nil"/>
              <w:bottom w:val="single" w:color="auto" w:sz="4" w:space="0"/>
              <w:right w:val="single" w:color="auto" w:sz="4" w:space="0"/>
            </w:tcBorders>
            <w:vAlign w:val="center"/>
          </w:tcPr>
          <w:p w14:paraId="5F568CA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A40F20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对用人单位在国家法律、行政法规和国务院卫生行政部门规定禁止乙肝病原携带者从事的工作岗位以外招用人员时，将乙肝病毒血清学指标作为体检标准行为的处罚</w:t>
            </w:r>
          </w:p>
        </w:tc>
        <w:tc>
          <w:tcPr>
            <w:tcW w:w="685" w:type="dxa"/>
            <w:tcBorders>
              <w:top w:val="single" w:color="auto" w:sz="4" w:space="0"/>
              <w:left w:val="nil"/>
              <w:bottom w:val="single" w:color="auto" w:sz="4" w:space="0"/>
              <w:right w:val="single" w:color="auto" w:sz="4" w:space="0"/>
            </w:tcBorders>
            <w:vAlign w:val="center"/>
          </w:tcPr>
          <w:p w14:paraId="59FA2743">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8FA674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20C1468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71C48E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【部门规章】《就业服务与就业管理规定》（2007年11月5日劳动保障部令第28号公布，2022年1月7日第四次修订）</w:t>
            </w:r>
          </w:p>
          <w:p w14:paraId="7CC9E8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第十九条第二款：用人单位招用人员，除国家法律、行政法规和国务院卫生行政部门规定禁止乙肝病原携带者从事的工作外，不得强行将乙肝病毒血清学指标作为体检标准。</w:t>
            </w:r>
          </w:p>
          <w:p w14:paraId="44F5E8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六十八条：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tc>
        <w:tc>
          <w:tcPr>
            <w:tcW w:w="2698" w:type="dxa"/>
            <w:tcBorders>
              <w:top w:val="single" w:color="auto" w:sz="4" w:space="0"/>
              <w:left w:val="nil"/>
              <w:bottom w:val="single" w:color="auto" w:sz="4" w:space="0"/>
              <w:right w:val="single" w:color="auto" w:sz="4" w:space="0"/>
            </w:tcBorders>
            <w:vAlign w:val="center"/>
          </w:tcPr>
          <w:p w14:paraId="1F27C4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59D9B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4B9A62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A80738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103895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0C008B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C2BF9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21C485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F5218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0F099D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7530D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0883AB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48CADB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87E6A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50E415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CC9F8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0A16A4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2969B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0E9F67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5FBD8B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545749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67F3489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77D0D9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27E36E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5D6C4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7D78D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7FD972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7F6FD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1A964CD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FB6309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380CFD9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5B71A5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4A20811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61D0441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65F8912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4EE5C25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27658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9D6217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44B0AD7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A24A9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FEE8D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6BD7B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20D211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6FC98B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100F18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7D0A6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A83C0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70484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CACED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144D7B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42BD80B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67EF57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8EE48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AF37C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52AEC42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613A49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22EE38C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2DFCE0F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7CC0D8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2F0B28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8C6EC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6AB562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60E1FD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96C84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AD18209">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1352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74E0BB6">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20</w:t>
            </w:r>
          </w:p>
        </w:tc>
        <w:tc>
          <w:tcPr>
            <w:tcW w:w="1060" w:type="dxa"/>
            <w:tcBorders>
              <w:top w:val="single" w:color="auto" w:sz="4" w:space="0"/>
              <w:left w:val="nil"/>
              <w:bottom w:val="single" w:color="auto" w:sz="4" w:space="0"/>
              <w:right w:val="single" w:color="auto" w:sz="4" w:space="0"/>
            </w:tcBorders>
            <w:vAlign w:val="center"/>
          </w:tcPr>
          <w:p w14:paraId="0419397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253659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对用人单位招用、招聘工作中违法行为的处罚</w:t>
            </w:r>
          </w:p>
          <w:p w14:paraId="58FDE63A">
            <w:pPr>
              <w:widowControl/>
              <w:adjustRightInd w:val="0"/>
              <w:snapToGrid w:val="0"/>
              <w:spacing w:line="300" w:lineRule="exact"/>
              <w:jc w:val="center"/>
              <w:rPr>
                <w:rFonts w:eastAsia="仿宋_GB2312" w:cs="仿宋_GB2312"/>
                <w:snapToGrid w:val="0"/>
                <w:sz w:val="20"/>
                <w:szCs w:val="20"/>
                <w:highlight w:val="none"/>
              </w:rPr>
            </w:pPr>
          </w:p>
        </w:tc>
        <w:tc>
          <w:tcPr>
            <w:tcW w:w="685" w:type="dxa"/>
            <w:tcBorders>
              <w:top w:val="single" w:color="auto" w:sz="4" w:space="0"/>
              <w:left w:val="nil"/>
              <w:bottom w:val="single" w:color="auto" w:sz="4" w:space="0"/>
              <w:right w:val="single" w:color="auto" w:sz="4" w:space="0"/>
            </w:tcBorders>
            <w:vAlign w:val="center"/>
          </w:tcPr>
          <w:p w14:paraId="13F8C016">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AB6B6D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C3752BF">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B3150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八十四条：用人单位违反本法规定，扣押劳动者居民身份证等证件的，由劳动行政部门责令限期退还劳动者本人，并依照有关规定给予处罚。</w:t>
            </w:r>
          </w:p>
          <w:p w14:paraId="43B7BB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用人单位违反本法规定，以担保或者其他名义向劳动者收取财物的，由劳动行政部门责令限期退还劳动者本人，并以每人五百元以上二千元以下的标准处以罚款；给劳动者造成损害的，应当承担赔偿责任。</w:t>
            </w:r>
          </w:p>
          <w:p w14:paraId="45128B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劳动者依法解除或者终止劳动合同，用人单位扣押劳动者档案或者其他物品的，依照前款规定处罚。</w:t>
            </w:r>
          </w:p>
          <w:p w14:paraId="0217245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就业服务与就业管理规定》（2007年11月5日劳动保障部令第28号，2022年1月7日第四次修订）第六十七条：用人单位违反本规定第十四条第（二）、（三）项规定的，按照劳动合同法第八十四条的规定予以处罚；用人单位违反第十四条第（四）项规定的，按照国家禁止使用童工和其他有关法律、法规的规定予以处罚。用人单位违反第十四条第（一）、（五）、（六）项规定的，由劳动保障行政部门责令改正，并可处以一千元以下的罚款；对当事人造成损害的，应当承担赔偿责任。</w:t>
            </w:r>
          </w:p>
          <w:p w14:paraId="5AB4D4C2">
            <w:pPr>
              <w:widowControl/>
              <w:adjustRightInd w:val="0"/>
              <w:snapToGrid w:val="0"/>
              <w:spacing w:line="300" w:lineRule="exact"/>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0996F5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420DC9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39E02B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5301A8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0933AB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9E6AF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711062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71C794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C82563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79588C9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79BFF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08545A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7F4549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0550FEF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00539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E1152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E5AE4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690C7B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28D7B7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4576CA6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41457E4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0B2C7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3E662A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0E5105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612C8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3DBDE4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BAAE2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7A909A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3BD7D3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1F471E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75CD9F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71F941C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7D3F8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6EC086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3CFDB6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3BB523E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42003C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90F8C8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B5312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1F5C33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C5AE5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60AD7B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36C452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45AC1F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1C0994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683EE8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15E139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5AEC6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1632B8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74A473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63444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1AE413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011E8A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50069C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0DABA4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4114CB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4656B7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2B55B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712725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4A825E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728B02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1DE516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569F4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AC319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04C0BDE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659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9E91950">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21</w:t>
            </w:r>
          </w:p>
        </w:tc>
        <w:tc>
          <w:tcPr>
            <w:tcW w:w="1060" w:type="dxa"/>
            <w:tcBorders>
              <w:top w:val="single" w:color="auto" w:sz="4" w:space="0"/>
              <w:left w:val="nil"/>
              <w:bottom w:val="single" w:color="auto" w:sz="4" w:space="0"/>
              <w:right w:val="single" w:color="auto" w:sz="4" w:space="0"/>
            </w:tcBorders>
            <w:vAlign w:val="center"/>
          </w:tcPr>
          <w:p w14:paraId="133EB6F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2A4BF25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对企业违反《企业年金办法》的处罚</w:t>
            </w:r>
          </w:p>
        </w:tc>
        <w:tc>
          <w:tcPr>
            <w:tcW w:w="685" w:type="dxa"/>
            <w:tcBorders>
              <w:top w:val="single" w:color="auto" w:sz="4" w:space="0"/>
              <w:left w:val="nil"/>
              <w:bottom w:val="single" w:color="auto" w:sz="4" w:space="0"/>
              <w:right w:val="single" w:color="auto" w:sz="4" w:space="0"/>
            </w:tcBorders>
            <w:vAlign w:val="center"/>
          </w:tcPr>
          <w:p w14:paraId="01EB331B">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B7B894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445DE4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6D5FFE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企业年金办法》（2017年12月18日人力资源社会保障部令第36号公布）第二十九条：县级以上人民政府人力资源社会保障行政部门负责对本办法的执行情况进行监督检查。对违反本办法规定的，由人力资源社会保障行政部门予以警告，责令改正。</w:t>
            </w:r>
          </w:p>
        </w:tc>
        <w:tc>
          <w:tcPr>
            <w:tcW w:w="2698" w:type="dxa"/>
            <w:tcBorders>
              <w:top w:val="single" w:color="auto" w:sz="4" w:space="0"/>
              <w:left w:val="nil"/>
              <w:bottom w:val="single" w:color="auto" w:sz="4" w:space="0"/>
              <w:right w:val="single" w:color="auto" w:sz="4" w:space="0"/>
            </w:tcBorders>
            <w:vAlign w:val="center"/>
          </w:tcPr>
          <w:p w14:paraId="360294C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2B1325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272A73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001E67A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017F81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2DB533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71C5A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7907F9A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A1881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0001C2B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3E718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3598E6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7B338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16F510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626E4B8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B6E29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1E726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42FB1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0FA4A9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5D3B16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4409F4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5221E6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120E80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14141F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386A17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3F463E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7D70CA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6ECFB58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622B59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3C841F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8E1FA7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15C5846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04253D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0B0F432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437972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553D79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C4DA6D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5940A18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AEE34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383A26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5F21EC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13B80C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4BFF5A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144341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31AC6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2F87C7C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6BAA884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6C1B8F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0FAF6D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B4FD1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68CBA7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4BEEF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DDA0A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C1320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5C84F39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6FB7918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8C58B3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60EE692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5D03301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C0AAF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3FF35C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4DE62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63569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AE83B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B66ADCB">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1977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43ED406">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22</w:t>
            </w:r>
          </w:p>
        </w:tc>
        <w:tc>
          <w:tcPr>
            <w:tcW w:w="1060" w:type="dxa"/>
            <w:tcBorders>
              <w:top w:val="single" w:color="auto" w:sz="4" w:space="0"/>
              <w:left w:val="nil"/>
              <w:bottom w:val="single" w:color="auto" w:sz="4" w:space="0"/>
              <w:right w:val="single" w:color="auto" w:sz="4" w:space="0"/>
            </w:tcBorders>
            <w:vAlign w:val="center"/>
          </w:tcPr>
          <w:p w14:paraId="67F3E72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79DF7D3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对用人单位不办理社会保险登记，责令改正，逾期仍不改正的处罚</w:t>
            </w:r>
          </w:p>
        </w:tc>
        <w:tc>
          <w:tcPr>
            <w:tcW w:w="685" w:type="dxa"/>
            <w:tcBorders>
              <w:top w:val="single" w:color="auto" w:sz="4" w:space="0"/>
              <w:left w:val="nil"/>
              <w:bottom w:val="single" w:color="auto" w:sz="4" w:space="0"/>
              <w:right w:val="single" w:color="auto" w:sz="4" w:space="0"/>
            </w:tcBorders>
            <w:vAlign w:val="center"/>
          </w:tcPr>
          <w:p w14:paraId="7B27CEF3">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1117A3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5F08CBE9">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DEC6C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社会保险法》（2010年10月28日通过，2018年12月29日修正）第五十七条：用人单位应当自成立之日起三十日内凭营业执照、登记证书或者单位印章，向当地社会保险经办机构申请办理社会保险登记。社会保险经办机构应当自收到申请之日起十五日内予以审核，发给社会保险登记证件。</w:t>
            </w:r>
          </w:p>
          <w:p w14:paraId="63F09F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用人单位的社会保险登记事项发生变更或者用人单位依法终止的，应当自变更或者终止之日起三十日内，到社会保险经办机构办理变更或者注销社会保险登记。……</w:t>
            </w:r>
          </w:p>
          <w:p w14:paraId="6DA5D6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八十四条：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p w14:paraId="288F0452">
            <w:pPr>
              <w:widowControl/>
              <w:adjustRightInd w:val="0"/>
              <w:snapToGrid w:val="0"/>
              <w:spacing w:line="300" w:lineRule="exact"/>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6FF735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1F48B3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1A2B86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0010DB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4.告知阶段责任：在作出处罚决定之前，应书面告知当事人违法事实及其享有的陈述、申辩和要求听证的权利。</w:t>
            </w:r>
          </w:p>
          <w:p w14:paraId="209763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34E13E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71B16D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705519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0C6A3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66051E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76A936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7DB5AA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5B30F7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441BC08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50DE1A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466E72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27B38B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2160CF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6CE876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3FF19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772B1D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6E1636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2F764A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5ABDCF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D92AD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FA5AF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1E0433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47FF57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344E89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3F3CB3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2E5F958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8CB5A7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7798F4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02933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1E300D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343910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027A0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7C9DC3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1EB12A7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307F8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BD0F3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4F21C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5F1FF8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429C62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62EF3C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7EC3EA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03B772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9677C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0450E9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99573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643557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0486187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C040A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43EAEE1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DC6DB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1656F11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C4961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76C5EE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2D1088A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18D886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29AD95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75FC25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910C9D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9CFEA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10EB15AE">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E5F2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B310B71">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rPr>
              <w:t>2</w:t>
            </w:r>
            <w:r>
              <w:rPr>
                <w:rFonts w:hint="eastAsia" w:eastAsia="仿宋_GB2312" w:cs="仿宋_GB2312"/>
                <w:snapToGrid w:val="0"/>
                <w:sz w:val="20"/>
                <w:szCs w:val="20"/>
                <w:highlight w:val="none"/>
                <w:lang w:val="en-US" w:eastAsia="zh-CN"/>
              </w:rPr>
              <w:t>3</w:t>
            </w:r>
          </w:p>
        </w:tc>
        <w:tc>
          <w:tcPr>
            <w:tcW w:w="1060" w:type="dxa"/>
            <w:tcBorders>
              <w:top w:val="single" w:color="auto" w:sz="4" w:space="0"/>
              <w:left w:val="nil"/>
              <w:bottom w:val="single" w:color="auto" w:sz="4" w:space="0"/>
              <w:right w:val="single" w:color="auto" w:sz="4" w:space="0"/>
            </w:tcBorders>
            <w:vAlign w:val="center"/>
          </w:tcPr>
          <w:p w14:paraId="6F34C37C">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2DA9ABCA">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对经营性人力资源服务机构未明示有关事项的处罚</w:t>
            </w:r>
          </w:p>
        </w:tc>
        <w:tc>
          <w:tcPr>
            <w:tcW w:w="685" w:type="dxa"/>
            <w:tcBorders>
              <w:top w:val="single" w:color="auto" w:sz="4" w:space="0"/>
              <w:left w:val="nil"/>
              <w:bottom w:val="single" w:color="auto" w:sz="4" w:space="0"/>
              <w:right w:val="single" w:color="auto" w:sz="4" w:space="0"/>
            </w:tcBorders>
            <w:vAlign w:val="center"/>
          </w:tcPr>
          <w:p w14:paraId="512A702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6811075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7378B2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6D1B59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人力资源市场暂行条例》（2018年6月29日国务院令第700号公布）第四十四条：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元以上1万元以下的罚款。违反其他法律、行政法规的，由有关主管部门依法给予处罚。</w:t>
            </w:r>
          </w:p>
          <w:p w14:paraId="40F17B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三十二条：经营性人力资源服务机构应当在服务场所明示下列事项，并接受人力资源社会保障行政部门和市场监督管理、价格等主管部门的监督检查：（一）营业执照；（二）服务项目；（三）收费标准；（四）监督机关和监督电话。从事职业中介活动的，还应当在服务场所明示人力资源服务许可证。</w:t>
            </w:r>
          </w:p>
          <w:p w14:paraId="5E2E78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就业服务与就业管理规定》（2007年11月5日劳动保障部令第28号，2022年1月7日第四次修订）第五十三条：职业中介机构应当在服务场所明示营业执照、职业中介许可证、服务项目、收费标准、监督机关名称和监督电话等，并接受劳动保障行政部门及其他有关部门的监督检查。</w:t>
            </w:r>
          </w:p>
          <w:p w14:paraId="0A1D7E3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七十一条：职业中介机构违反本规定第五十三条规定，未明示职业中介许可证、监督电话的，由劳动保障行政部门责令改正，并可处以一千元以下的罚款；未明示收费标准的，提请价格主管部门依据国家有关规定处罚；未明示营业执照的，提请工商行政管理部门依据国家有关规定处罚。</w:t>
            </w:r>
          </w:p>
        </w:tc>
        <w:tc>
          <w:tcPr>
            <w:tcW w:w="2698" w:type="dxa"/>
            <w:tcBorders>
              <w:top w:val="single" w:color="auto" w:sz="4" w:space="0"/>
              <w:left w:val="nil"/>
              <w:bottom w:val="single" w:color="auto" w:sz="4" w:space="0"/>
              <w:right w:val="single" w:color="auto" w:sz="4" w:space="0"/>
            </w:tcBorders>
            <w:vAlign w:val="center"/>
          </w:tcPr>
          <w:p w14:paraId="326332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709481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44910DF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6DB129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04D23C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5C72E9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426EBD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2552BA5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0CD3F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0322AF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C9230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3EF668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51AA8C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568E15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65F81A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A1BFE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35582E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9519F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644C8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58D4D2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534E06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633D78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7811235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007B31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B0D29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48599B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7D4B8E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0A652A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0CB7B95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1CBE2F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DDD0E9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7D21D39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74BAA84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8B566A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B548F3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1FCC3C5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7C3E329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5F3779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097AC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3CCB14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05DBF6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7C2432A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524CD1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7B9AFC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45FAE2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72209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29E751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EA929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34AF30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156D10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C2716A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0E4511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67F972B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4D74712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7E98F1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F75B30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7EEBD3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4CAB4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39106E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124AF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42F08D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2BC940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457087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2BB70CF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2F27801E">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B930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330B234">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24</w:t>
            </w:r>
          </w:p>
        </w:tc>
        <w:tc>
          <w:tcPr>
            <w:tcW w:w="1060" w:type="dxa"/>
            <w:tcBorders>
              <w:top w:val="single" w:color="auto" w:sz="4" w:space="0"/>
              <w:left w:val="nil"/>
              <w:bottom w:val="single" w:color="auto" w:sz="4" w:space="0"/>
              <w:right w:val="single" w:color="auto" w:sz="4" w:space="0"/>
            </w:tcBorders>
            <w:vAlign w:val="center"/>
          </w:tcPr>
          <w:p w14:paraId="1514A985">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F1882BF">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对人力资源服务机构未按规定建立健全内部制度或者保存服务台账的处罚</w:t>
            </w:r>
          </w:p>
        </w:tc>
        <w:tc>
          <w:tcPr>
            <w:tcW w:w="685" w:type="dxa"/>
            <w:tcBorders>
              <w:top w:val="single" w:color="auto" w:sz="4" w:space="0"/>
              <w:left w:val="nil"/>
              <w:bottom w:val="single" w:color="auto" w:sz="4" w:space="0"/>
              <w:right w:val="single" w:color="auto" w:sz="4" w:space="0"/>
            </w:tcBorders>
            <w:vAlign w:val="center"/>
          </w:tcPr>
          <w:p w14:paraId="7388A4C4">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6476E18A">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43FCA4D">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491E32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人力资源市场暂行条例》（2018年6月29日国务院令第700号公布）第四十四条：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元以上1万元以下的罚款。违反其他法律、行政法规的，由有关主管部门依法给予处罚。</w:t>
            </w:r>
          </w:p>
          <w:p w14:paraId="131D1E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第三十三条：人力资源服务机构应当加强内部制度建设，健全财务管理制度，建立服务台账，如实记录服务对象、服务过程、服务结果等信息。服务台账应当保存2年以上。</w:t>
            </w:r>
          </w:p>
          <w:p w14:paraId="716F74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就业服务与就业管理规定》（2007年11月5日劳动保障部令第28号，2022年1月7日第四次修订）第五十四条：职业中介机构应当建立服务台账，记录服务对象、服务过程、服务结果和收费情况等，并接受劳动保障行政部门的监督检查。</w:t>
            </w:r>
          </w:p>
          <w:p w14:paraId="3E32592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第七十二条：职业中介机构违反本规定第五十四条规定，未建立服务台账，或虽建立服务台账但未记录服务对象、服务过程、服务结果和收费情况的，由劳动保障行政部门责令改正，并可处以一千元以下的罚款。</w:t>
            </w:r>
          </w:p>
        </w:tc>
        <w:tc>
          <w:tcPr>
            <w:tcW w:w="2698" w:type="dxa"/>
            <w:tcBorders>
              <w:top w:val="single" w:color="auto" w:sz="4" w:space="0"/>
              <w:left w:val="nil"/>
              <w:bottom w:val="single" w:color="auto" w:sz="4" w:space="0"/>
              <w:right w:val="single" w:color="auto" w:sz="4" w:space="0"/>
            </w:tcBorders>
            <w:vAlign w:val="center"/>
          </w:tcPr>
          <w:p w14:paraId="54FF19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2734A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61929D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6C773F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635FF6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25C63F9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18435A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5F674C2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3AAEE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21E54A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26C18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58221E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016DD3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4A8A98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A6E699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B2DA7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0EC74A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0A8B862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7D9C6E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3224FB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494D99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3B6E80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0CC5D0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25FD53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049534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1053A3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16B2E8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3C586B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69ECF1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33F44B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267CA2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5714CFD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2324D0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46068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4AF12A9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4BCA80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5933D53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F00443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7F03FF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61022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96BE9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433BB5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02C18B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C0D93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61D971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92E49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6E2EC1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32A4D6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F7EFA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740DED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9A522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1FEC0A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3F07E5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43B4DB0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0CD591D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0006EE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757CDCB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C7079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5544D45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7D903F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F0F69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A7FA1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5D3E2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629063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908C3E1">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34E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20F60D8F">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25</w:t>
            </w:r>
          </w:p>
        </w:tc>
        <w:tc>
          <w:tcPr>
            <w:tcW w:w="1060" w:type="dxa"/>
            <w:tcBorders>
              <w:top w:val="single" w:color="auto" w:sz="4" w:space="0"/>
              <w:left w:val="nil"/>
              <w:bottom w:val="single" w:color="auto" w:sz="4" w:space="0"/>
              <w:right w:val="single" w:color="auto" w:sz="4" w:space="0"/>
            </w:tcBorders>
            <w:vAlign w:val="center"/>
          </w:tcPr>
          <w:p w14:paraId="5A7E852D">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5ECF424">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对经营性人力资源服务机构未按规定提交经营情况年度报告的处罚</w:t>
            </w:r>
          </w:p>
        </w:tc>
        <w:tc>
          <w:tcPr>
            <w:tcW w:w="685" w:type="dxa"/>
            <w:tcBorders>
              <w:top w:val="single" w:color="auto" w:sz="4" w:space="0"/>
              <w:left w:val="nil"/>
              <w:bottom w:val="single" w:color="auto" w:sz="4" w:space="0"/>
              <w:right w:val="single" w:color="auto" w:sz="4" w:space="0"/>
            </w:tcBorders>
            <w:vAlign w:val="center"/>
          </w:tcPr>
          <w:p w14:paraId="0AF52238">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DEC009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nil"/>
              <w:bottom w:val="single" w:color="auto" w:sz="4" w:space="0"/>
              <w:right w:val="single" w:color="auto" w:sz="4" w:space="0"/>
            </w:tcBorders>
            <w:vAlign w:val="center"/>
          </w:tcPr>
          <w:p w14:paraId="2F8772B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5EC5B0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人力资源市场暂行条例》（2018年6月29日国务院令第700号公布）第四十四条：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元以上1万元以下的罚款。违反其他法律、行政法规的，由有关主管部门依法给予处罚。</w:t>
            </w:r>
          </w:p>
          <w:p w14:paraId="4A676FF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三十六条：经营性人力资源服务机构应当在规定期限内，向人力资源社会保障行政部门提交经营情况年度报告。人力资源社会保障行政部门可以依法公示或者引导经营性人力资源服务机构依法公示年度报告的有关内容。……</w:t>
            </w:r>
          </w:p>
        </w:tc>
        <w:tc>
          <w:tcPr>
            <w:tcW w:w="2698" w:type="dxa"/>
            <w:tcBorders>
              <w:top w:val="single" w:color="auto" w:sz="4" w:space="0"/>
              <w:left w:val="nil"/>
              <w:bottom w:val="single" w:color="auto" w:sz="4" w:space="0"/>
              <w:right w:val="single" w:color="auto" w:sz="4" w:space="0"/>
            </w:tcBorders>
            <w:vAlign w:val="center"/>
          </w:tcPr>
          <w:p w14:paraId="0DE0678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68F1D1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661A7DB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216683D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4E2646C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45E2E8D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1EAF71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56F21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EB30A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5D55C6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7E79D3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59BFC7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4A5829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5C182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4471F4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D474C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1F467F5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6975B6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9B0BE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3F7B78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2FDFB5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3B8D2B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6A7D443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60F3B2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1EEE4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EF86F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27BB6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FDC0B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4858816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689094E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663DA4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690AFC6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6D2C1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1560F72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D4158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510A2BE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A3D431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78E717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CC8D66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63272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7551DB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53A72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4CCB05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1518D1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462AB9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9007A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E0764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C03ED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CD647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9AE3B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5713B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776592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0758EB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7E128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60F1BE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7571CA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1F6D9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4A31E2A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CDC71E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6CEF79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41C9074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10CD31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1218F9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3B96F1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10DACD2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70E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D7F81E6">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26</w:t>
            </w:r>
          </w:p>
        </w:tc>
        <w:tc>
          <w:tcPr>
            <w:tcW w:w="1060" w:type="dxa"/>
            <w:tcBorders>
              <w:top w:val="single" w:color="auto" w:sz="4" w:space="0"/>
              <w:left w:val="nil"/>
              <w:bottom w:val="single" w:color="auto" w:sz="4" w:space="0"/>
              <w:right w:val="single" w:color="auto" w:sz="4" w:space="0"/>
            </w:tcBorders>
            <w:vAlign w:val="center"/>
          </w:tcPr>
          <w:p w14:paraId="3BA85EF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3043A11">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对职业中介机构在职业中介服务不成功后未向劳动者退还所收取的中介服务费的处罚</w:t>
            </w:r>
          </w:p>
        </w:tc>
        <w:tc>
          <w:tcPr>
            <w:tcW w:w="685" w:type="dxa"/>
            <w:tcBorders>
              <w:top w:val="single" w:color="auto" w:sz="4" w:space="0"/>
              <w:left w:val="nil"/>
              <w:bottom w:val="single" w:color="auto" w:sz="4" w:space="0"/>
              <w:right w:val="single" w:color="auto" w:sz="4" w:space="0"/>
            </w:tcBorders>
            <w:vAlign w:val="center"/>
          </w:tcPr>
          <w:p w14:paraId="71F26368">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78C03C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0125DC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76CCFE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【部门规章】《就业服务与就业管理规定》（2007年11月5日劳动保障部令第28号，2022年1月7日第四次修订）第五十五条：职业中介机构提供职业中介服务不成功的，应当退还向劳动者收取的中介服务费。</w:t>
            </w:r>
          </w:p>
          <w:p w14:paraId="59C3CBC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第七十三条：职业中介机构违反本规定第五十五条规定，在职业中介服务不成功后未向劳动者退还所收取的中介服务费的，由劳动保障行政部门责令改正，并可处以一千元以下的罚款。</w:t>
            </w:r>
          </w:p>
        </w:tc>
        <w:tc>
          <w:tcPr>
            <w:tcW w:w="2698" w:type="dxa"/>
            <w:tcBorders>
              <w:top w:val="single" w:color="auto" w:sz="4" w:space="0"/>
              <w:left w:val="nil"/>
              <w:bottom w:val="single" w:color="auto" w:sz="4" w:space="0"/>
              <w:right w:val="single" w:color="auto" w:sz="4" w:space="0"/>
            </w:tcBorders>
            <w:vAlign w:val="center"/>
          </w:tcPr>
          <w:p w14:paraId="3715AB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04AA535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5778AF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20853E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0DB125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42C866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728D002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57D3AE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0DFC57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36F25D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56DA06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62BF75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D83B5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2B85F1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1878A3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212EBC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165B76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601D19B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8B784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1FB8BD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2ABA3B7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1639D9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3BEC4C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57382F4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310ED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3BDB33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3B97BB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EC6E0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62ED88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D5C4A2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299DE9F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4F28FF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786717B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0B76DFC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78652A2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2CFB4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7256302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87F6D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6F2507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7DEDE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FF887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662FB5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60EACF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D2CCD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7F57FA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1A9AE8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1F7B0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606DFE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1B5209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716A14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2E0A1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AF0149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036C0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E67396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538E1A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49BF3F7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467FCE6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068C5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089791C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48B2F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3864CE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204FEA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6EE088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2DB12C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5B6F24B">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54A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83FED87">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27</w:t>
            </w:r>
          </w:p>
        </w:tc>
        <w:tc>
          <w:tcPr>
            <w:tcW w:w="1060" w:type="dxa"/>
            <w:tcBorders>
              <w:top w:val="single" w:color="auto" w:sz="4" w:space="0"/>
              <w:left w:val="nil"/>
              <w:bottom w:val="single" w:color="auto" w:sz="4" w:space="0"/>
              <w:right w:val="single" w:color="auto" w:sz="4" w:space="0"/>
            </w:tcBorders>
            <w:vAlign w:val="center"/>
          </w:tcPr>
          <w:p w14:paraId="35891AE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9AFE5A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职业中介机构发布的就业信息中包含歧视性内容的；为无合法身份证件的劳动者提供职业中介服务的；介绍劳动者从事法律、法规禁止从事的职业的；以暴力、胁迫、欺诈等方式进行职业中介活动的；超出核准的业务范围经营的；其他违反法律、法规规定的行为的处罚</w:t>
            </w:r>
          </w:p>
        </w:tc>
        <w:tc>
          <w:tcPr>
            <w:tcW w:w="685" w:type="dxa"/>
            <w:tcBorders>
              <w:top w:val="single" w:color="auto" w:sz="4" w:space="0"/>
              <w:left w:val="nil"/>
              <w:bottom w:val="single" w:color="auto" w:sz="4" w:space="0"/>
              <w:right w:val="single" w:color="auto" w:sz="4" w:space="0"/>
            </w:tcBorders>
            <w:vAlign w:val="center"/>
          </w:tcPr>
          <w:p w14:paraId="53D2D87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5CC4F58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601D206">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337199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【部门规章】《就业服务与就业管理规定》（2007年11月5日劳动保障部令第28号，2022年1月7日第四次修订）第五十八条：禁止职业中介机构有下列行为：</w:t>
            </w:r>
          </w:p>
          <w:p w14:paraId="267F4A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（一）提供虚假就业信息；</w:t>
            </w:r>
          </w:p>
          <w:p w14:paraId="72193D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（二）发布的就业信息中包含歧视性内容；</w:t>
            </w:r>
          </w:p>
          <w:p w14:paraId="06042E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（三）伪造、涂改、转让职业中介许可证；</w:t>
            </w:r>
          </w:p>
          <w:p w14:paraId="0F7515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（四）为无合法证照的用人单位提供职业中介服务；</w:t>
            </w:r>
          </w:p>
          <w:p w14:paraId="1CF5B1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（五）介绍未满16周岁的未成年人就业；</w:t>
            </w:r>
          </w:p>
          <w:p w14:paraId="67EAF42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（六）为无合法身份证件的劳动者提供职业中介服务；</w:t>
            </w:r>
          </w:p>
          <w:p w14:paraId="7E9F94F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（七）介绍劳动者从事法律、法规禁止从事的职业；</w:t>
            </w:r>
          </w:p>
          <w:p w14:paraId="564B288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（八）扣押劳动者的居民身份证和其他证件，或者向劳动者收取押金；</w:t>
            </w:r>
          </w:p>
          <w:p w14:paraId="057CC35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（九）以暴力、胁迫、欺诈等方式进行职业中介活动；</w:t>
            </w:r>
          </w:p>
          <w:p w14:paraId="79BF0C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（十）超出核准的业务范围经营；</w:t>
            </w:r>
          </w:p>
          <w:p w14:paraId="3CCF389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（十一）其他违反法律、法规规定的行为。</w:t>
            </w:r>
          </w:p>
          <w:p w14:paraId="01170B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七十四条：职业中介机构违反本规定第五十八条第（一）、（三）、（四）、（八）项规定的，按照就业促进法第六十五条、第六十六条规定予以处罚。违反本规定第五十八条第（五）项规定的，按照国家禁止使用童工的规定予以处罚。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p w14:paraId="418DAD7D">
            <w:pPr>
              <w:widowControl/>
              <w:adjustRightInd w:val="0"/>
              <w:snapToGrid w:val="0"/>
              <w:spacing w:line="300" w:lineRule="exact"/>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309AFB8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9B723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FA66D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0B6C25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70D861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59C1C3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B3027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3D35EB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116D6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71B329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8656C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5CCC40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49812A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3BC028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B3843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02424D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3348B5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2E1B56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1749CA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FC4453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3203D17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66AD93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7F85C7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21E3B0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3B68EF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0024DC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10C904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8452FB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0000D7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21BC7A3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1166B04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8738B4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AC1D9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51C0563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47A730F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5D34DA5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4BE77E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BED55E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7741C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2F3EC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740F88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18BFAB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6883069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28B687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6AD03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79739B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18D0DD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74591C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530DDE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57D52C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759845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4CD917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9007FD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75D6A36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A8243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1BF0B7C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83A071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F139C5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532ACDB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6D582D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2FCB8F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4A4CF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170CD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D8185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246EE08">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FED1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3E05361A">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28</w:t>
            </w:r>
          </w:p>
        </w:tc>
        <w:tc>
          <w:tcPr>
            <w:tcW w:w="1060" w:type="dxa"/>
            <w:tcBorders>
              <w:top w:val="single" w:color="auto" w:sz="4" w:space="0"/>
              <w:left w:val="nil"/>
              <w:bottom w:val="single" w:color="auto" w:sz="4" w:space="0"/>
              <w:right w:val="single" w:color="auto" w:sz="4" w:space="0"/>
            </w:tcBorders>
            <w:vAlign w:val="center"/>
          </w:tcPr>
          <w:p w14:paraId="397545B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78AA471">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对未经许可擅自从事职业中介活动的行为的处罚</w:t>
            </w:r>
          </w:p>
        </w:tc>
        <w:tc>
          <w:tcPr>
            <w:tcW w:w="685" w:type="dxa"/>
            <w:tcBorders>
              <w:top w:val="single" w:color="auto" w:sz="4" w:space="0"/>
              <w:left w:val="nil"/>
              <w:bottom w:val="single" w:color="auto" w:sz="4" w:space="0"/>
              <w:right w:val="single" w:color="auto" w:sz="4" w:space="0"/>
            </w:tcBorders>
            <w:vAlign w:val="center"/>
          </w:tcPr>
          <w:p w14:paraId="549C2495">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52C4E1EA">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0CA4E2D">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EB56A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就业促进法》（2007年8月30日主席令第70号通过，2015年4月24日修正）第六十四条：违反本法规定，未经许可和登记，擅自从事职业中介活动的，由劳动行政部门或者其他主管部门依法予以关闭；有违法所得的，没收违法所得，并处1万元以上5万元以下的罚款。</w:t>
            </w:r>
          </w:p>
          <w:p w14:paraId="34E8C1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人力资源市场暂行条例》（2018年6月29日国务院令第700号公布）第四十二条第一款：违反本条例第十八条第一款规定，未经许可擅自从事职业中介活动的，由人力资源社会保障行政部门予以关闭或者责令停止从事职业中介活动；有违法所得的，没收违法所得，并处1万元以上5万元以下的罚款。</w:t>
            </w:r>
          </w:p>
          <w:p w14:paraId="2F0A87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第十八条第一款：经营性人力资源服务机构从事职业中介活动的，应当依法向人力资源社会保障行政部门申请行政许可，取得人力资源服务许可证。</w:t>
            </w:r>
          </w:p>
          <w:p w14:paraId="3B0164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部门规章】《就业服务与就业管理规定》（2007年11月5日劳动保障部令第28号，2022年1月7日第四次修订）第七十条：违反本规定第四十七条规定，未经许可和登记，擅自从事职业中介活动的，由劳动保障行政部门或者其他主管部门按照就业促进法第六十四条规定予以处罚。</w:t>
            </w:r>
          </w:p>
          <w:p w14:paraId="5434FC3A">
            <w:pPr>
              <w:pStyle w:val="2"/>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第四十七条：职业中介实行行政许可制度。设立职业中介机构或其他机构开展职业中介活动，须经劳动保障行政部门批准，并获得职业中介许可证。未经依法许可和登记的机构，不得从事职业中介活动。</w:t>
            </w:r>
          </w:p>
        </w:tc>
        <w:tc>
          <w:tcPr>
            <w:tcW w:w="2698" w:type="dxa"/>
            <w:tcBorders>
              <w:top w:val="single" w:color="auto" w:sz="4" w:space="0"/>
              <w:left w:val="nil"/>
              <w:bottom w:val="single" w:color="auto" w:sz="4" w:space="0"/>
              <w:right w:val="single" w:color="auto" w:sz="4" w:space="0"/>
            </w:tcBorders>
            <w:vAlign w:val="center"/>
          </w:tcPr>
          <w:p w14:paraId="5CD17B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091AD7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61989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3D403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005B2C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A0F31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5C2B8C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59869FB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EA44E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3BABF2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54052E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12089B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A58E93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70CD98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780CF4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03150D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5140C39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2D13CC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ECB82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0D6E854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19447DF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572FCB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6E8F20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1795FA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0304132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0E7BF3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EF995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3C6341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49B97C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483B8E5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B43D99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1D62ABB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01DC948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A9D1E0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3B98B2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A3713E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1F74B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C7547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B06AA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E516E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182223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770C93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EFB94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194E61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58977B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70F965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8B2368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4E004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03F5C0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DCA70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61D6E9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C5BF50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7373D43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2A0108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51A86D1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02E78C2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4D858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6FA9922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99EBB8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77D870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298D7B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18D05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40D117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E5EBA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31AD0E8">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475AD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293684C">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29</w:t>
            </w:r>
          </w:p>
        </w:tc>
        <w:tc>
          <w:tcPr>
            <w:tcW w:w="1060" w:type="dxa"/>
            <w:tcBorders>
              <w:top w:val="single" w:color="auto" w:sz="4" w:space="0"/>
              <w:left w:val="nil"/>
              <w:bottom w:val="single" w:color="auto" w:sz="4" w:space="0"/>
              <w:right w:val="single" w:color="auto" w:sz="4" w:space="0"/>
            </w:tcBorders>
            <w:vAlign w:val="center"/>
          </w:tcPr>
          <w:p w14:paraId="35E9A12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4D50A2F8">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对人力资源服务机构（职业中介机构）发布的招聘信息不真实、不合法，未依法开展人力资源服务业务的处罚</w:t>
            </w:r>
          </w:p>
        </w:tc>
        <w:tc>
          <w:tcPr>
            <w:tcW w:w="685" w:type="dxa"/>
            <w:tcBorders>
              <w:top w:val="single" w:color="auto" w:sz="4" w:space="0"/>
              <w:left w:val="nil"/>
              <w:bottom w:val="single" w:color="auto" w:sz="4" w:space="0"/>
              <w:right w:val="single" w:color="auto" w:sz="4" w:space="0"/>
            </w:tcBorders>
            <w:vAlign w:val="center"/>
          </w:tcPr>
          <w:p w14:paraId="008C63B4">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3ACA00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8FA11C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B600C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就业促进法》（2007年8月30日主席令第70号通过，2015年4月24日修正）第六十五条：违反本法规定，职业中介机构提供虚假就业信息，为无合法证照的用人单位提供职业中介服务，伪造、涂改、转让职业中介许可证的，由劳动行政部门或者其他主管部门责令改正；有违法所得的，没收违法所得，并处一万元以上五万元以下的罚款；情节严重的，吊销职业中介许可证。</w:t>
            </w:r>
          </w:p>
          <w:p w14:paraId="10F0BC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人力资源市场暂行条例》（2018年6月29日国务院令第700号公布）第四十三条：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由有关主管部门依法给予处罚。</w:t>
            </w:r>
          </w:p>
          <w:p w14:paraId="2D8DEE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四条：用人单位发布或者向人力资源服务机构提供的单位基本情况、招聘人数、招聘条件、工作内容、工作地点、基本劳动报酬等招聘信息，应当真实、合法，不得含有民族、种族、性别、宗教信仰等方面的歧视性内容。</w:t>
            </w:r>
          </w:p>
          <w:p w14:paraId="76EF05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用人单位自主招用人员，需要建立劳动关系的，应当依法与劳动者订立劳动合同，并按照国家有关规定办理社会保险等相关手续。</w:t>
            </w:r>
          </w:p>
          <w:p w14:paraId="37FB87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第二十七条：人力资源服务机构接受用人单位委托招聘人员或者开展其他人力资源服务，不得采取欺诈、暴力、胁迫或者其他不正当手段，不得以招聘为名牟取不正当利益，不得介绍单位或者个人从事违法活动。</w:t>
            </w:r>
          </w:p>
          <w:p w14:paraId="1FD6A9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八条：人力资源服务机构举办现场招聘会，应当制定组织实施办法、应急预案和安全保卫工作方案，核实参加招聘会的招聘单位及其招聘简章的真实性、合法性，提前将招聘会信息向社会公布，并对招聘中的各项活动进行管理。</w:t>
            </w:r>
          </w:p>
          <w:p w14:paraId="1C49416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举办大型现场招聘会，应当符合《大型群众性活动安全管理条例》等法律法规的规定。</w:t>
            </w:r>
          </w:p>
          <w:p w14:paraId="2F6E97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第二十九条：人力资源服务机构发布人力资源供求信息，应当建立健全信息发布审查和投诉处理机制，确保发布的信息真实、合法、有效。</w:t>
            </w:r>
          </w:p>
          <w:p w14:paraId="23C399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人力资源服务机构在业务活动中收集用人单位和个人信息的，不得泄露或者违法使用所知悉的商业秘密和个人信息。</w:t>
            </w:r>
          </w:p>
          <w:p w14:paraId="0586C2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第三十条：经营性人力资源服务机构接受用人单位委托提供人力资源服务外包的，不得改变用人单位与个人的劳动关系，不得与用人单位串通侵害个人的合法权益。</w:t>
            </w:r>
          </w:p>
          <w:p w14:paraId="24FF28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第三十一条：人力资源服务机构通过互联网提供人力资源服务的，应当遵守本条例和国家有关网络安全、互联网信息服务管理的规定。</w:t>
            </w:r>
          </w:p>
        </w:tc>
        <w:tc>
          <w:tcPr>
            <w:tcW w:w="2698" w:type="dxa"/>
            <w:tcBorders>
              <w:top w:val="single" w:color="auto" w:sz="4" w:space="0"/>
              <w:left w:val="nil"/>
              <w:bottom w:val="single" w:color="auto" w:sz="4" w:space="0"/>
              <w:right w:val="single" w:color="auto" w:sz="4" w:space="0"/>
            </w:tcBorders>
            <w:vAlign w:val="center"/>
          </w:tcPr>
          <w:p w14:paraId="08F1E4B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71EEEA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189C096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6EC48B3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1CAA50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4355C0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3FD7EC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7AFFD2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5D2B43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478BA6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E1743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206EAC3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644899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65CFFC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64AF49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ABC95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5DF14D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1B9E94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197364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1E05C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5F0ABA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17B7326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5387356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1C9D7A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6976716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5076A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7EF0F3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33A213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79C306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29C0F2C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3BCA30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8E721F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2591F63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1CCE9B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2BECF45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39DD12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578003B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E74184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2CBD84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46A18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0876C5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26F673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26178F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16C815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5C3467F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0A5C58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AEC65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5A7940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0FF55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8146E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017DEF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F8A760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1DBA3D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1C9A662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566DE4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33ACFF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2FAC88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38ABA0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6F4A7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4AF7AB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3AD2E2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A4B74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76871C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66416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14E3044">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4F8A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59D9BA2">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30</w:t>
            </w:r>
          </w:p>
        </w:tc>
        <w:tc>
          <w:tcPr>
            <w:tcW w:w="1060" w:type="dxa"/>
            <w:tcBorders>
              <w:top w:val="single" w:color="auto" w:sz="4" w:space="0"/>
              <w:left w:val="nil"/>
              <w:bottom w:val="single" w:color="auto" w:sz="4" w:space="0"/>
              <w:right w:val="single" w:color="auto" w:sz="4" w:space="0"/>
            </w:tcBorders>
            <w:vAlign w:val="center"/>
          </w:tcPr>
          <w:p w14:paraId="4098D4C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692C9E0E">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对职业中介机构向劳动者收取押金的行为的处罚</w:t>
            </w:r>
          </w:p>
        </w:tc>
        <w:tc>
          <w:tcPr>
            <w:tcW w:w="685" w:type="dxa"/>
            <w:tcBorders>
              <w:top w:val="single" w:color="auto" w:sz="4" w:space="0"/>
              <w:left w:val="nil"/>
              <w:bottom w:val="single" w:color="auto" w:sz="4" w:space="0"/>
              <w:right w:val="single" w:color="auto" w:sz="4" w:space="0"/>
            </w:tcBorders>
            <w:vAlign w:val="center"/>
          </w:tcPr>
          <w:p w14:paraId="0D1281BB">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A65C2BF">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28E3041">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E389E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就业促进法》（2007年8月30日主席令第70号通过，2015年4月24日修正）第六十六条第二款：违反本法规定，职业中介机构向劳动者收取押金的，由劳动行政部门责令限期退还劳动者，并以每人五百元以上二千元以下的标准处以罚款。</w:t>
            </w:r>
          </w:p>
        </w:tc>
        <w:tc>
          <w:tcPr>
            <w:tcW w:w="2698" w:type="dxa"/>
            <w:tcBorders>
              <w:top w:val="single" w:color="auto" w:sz="4" w:space="0"/>
              <w:left w:val="nil"/>
              <w:bottom w:val="single" w:color="auto" w:sz="4" w:space="0"/>
              <w:right w:val="single" w:color="auto" w:sz="4" w:space="0"/>
            </w:tcBorders>
            <w:vAlign w:val="center"/>
          </w:tcPr>
          <w:p w14:paraId="11C492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1FA515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F2128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0DE71C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7DD609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768B94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67275E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6090219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596E12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57CF14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F9E0B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269619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29FB86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0E1125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260539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359DB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83397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EFC56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1F943E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7AA717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39EDF2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18994D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5770B0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5120DD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232B82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048F4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51E849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200D969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45ED63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7C08277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068614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BFA43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0C2BB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1C3F44C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2F3426D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B6F218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1C3A30C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F5E9AE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755944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0AB7DA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60049C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1E2FAC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3251A1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53E2A7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45F843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87A48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0D75D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C71AC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6E51BF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4B870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EF049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6201B6E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7181960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546DB3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EC2E9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30E098A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35790B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762A2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219A3C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4F497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1232659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B2834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32E7A5F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BCB23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163847A0">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592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43E35C8">
            <w:pPr>
              <w:widowControl/>
              <w:adjustRightInd w:val="0"/>
              <w:snapToGrid w:val="0"/>
              <w:spacing w:line="300" w:lineRule="exact"/>
              <w:jc w:val="center"/>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rPr>
              <w:t>3</w:t>
            </w:r>
            <w:r>
              <w:rPr>
                <w:rFonts w:hint="eastAsia" w:eastAsia="仿宋_GB2312" w:cs="仿宋_GB2312"/>
                <w:snapToGrid w:val="0"/>
                <w:sz w:val="20"/>
                <w:szCs w:val="20"/>
                <w:highlight w:val="none"/>
                <w:lang w:val="en-US" w:eastAsia="zh-CN"/>
              </w:rPr>
              <w:t>1</w:t>
            </w:r>
          </w:p>
        </w:tc>
        <w:tc>
          <w:tcPr>
            <w:tcW w:w="1060" w:type="dxa"/>
            <w:tcBorders>
              <w:top w:val="single" w:color="auto" w:sz="4" w:space="0"/>
              <w:left w:val="nil"/>
              <w:bottom w:val="single" w:color="auto" w:sz="4" w:space="0"/>
              <w:right w:val="single" w:color="auto" w:sz="4" w:space="0"/>
            </w:tcBorders>
            <w:vAlign w:val="center"/>
          </w:tcPr>
          <w:p w14:paraId="5CC687E0">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1C16398">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对单位或个人以欺诈、伪造证明材料或者其他手段骗取社会保险待遇的处罚</w:t>
            </w:r>
          </w:p>
        </w:tc>
        <w:tc>
          <w:tcPr>
            <w:tcW w:w="685" w:type="dxa"/>
            <w:tcBorders>
              <w:top w:val="single" w:color="auto" w:sz="4" w:space="0"/>
              <w:left w:val="nil"/>
              <w:bottom w:val="single" w:color="auto" w:sz="4" w:space="0"/>
              <w:right w:val="single" w:color="auto" w:sz="4" w:space="0"/>
            </w:tcBorders>
            <w:vAlign w:val="center"/>
          </w:tcPr>
          <w:p w14:paraId="73C36F5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1.骗取养老保险待遇</w:t>
            </w:r>
          </w:p>
          <w:p w14:paraId="5243C2F0">
            <w:pPr>
              <w:widowControl/>
              <w:adjustRightInd w:val="0"/>
              <w:snapToGrid w:val="0"/>
              <w:spacing w:line="300" w:lineRule="exact"/>
              <w:jc w:val="center"/>
              <w:rPr>
                <w:rFonts w:eastAsia="仿宋_GB2312" w:cs="仿宋_GB2312"/>
                <w:snapToGrid w:val="0"/>
                <w:sz w:val="20"/>
                <w:szCs w:val="20"/>
                <w:highlight w:val="none"/>
              </w:rPr>
            </w:pPr>
          </w:p>
          <w:p w14:paraId="1900F20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2.骗取工伤保险待遇</w:t>
            </w:r>
          </w:p>
          <w:p w14:paraId="0D288B0A">
            <w:pPr>
              <w:widowControl/>
              <w:adjustRightInd w:val="0"/>
              <w:snapToGrid w:val="0"/>
              <w:spacing w:line="300" w:lineRule="exact"/>
              <w:jc w:val="center"/>
              <w:rPr>
                <w:rFonts w:eastAsia="仿宋_GB2312" w:cs="仿宋_GB2312"/>
                <w:snapToGrid w:val="0"/>
                <w:sz w:val="20"/>
                <w:szCs w:val="20"/>
                <w:highlight w:val="none"/>
              </w:rPr>
            </w:pPr>
          </w:p>
          <w:p w14:paraId="21C57C3B">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3.骗取失业保险待遇</w:t>
            </w:r>
          </w:p>
        </w:tc>
        <w:tc>
          <w:tcPr>
            <w:tcW w:w="825" w:type="dxa"/>
            <w:gridSpan w:val="2"/>
            <w:tcBorders>
              <w:top w:val="single" w:color="auto" w:sz="4" w:space="0"/>
              <w:left w:val="nil"/>
              <w:bottom w:val="single" w:color="auto" w:sz="4" w:space="0"/>
              <w:right w:val="single" w:color="auto" w:sz="4" w:space="0"/>
            </w:tcBorders>
            <w:vAlign w:val="center"/>
          </w:tcPr>
          <w:p w14:paraId="4342AB6A">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5335163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城中区人力资源和社会保障局、城中区劳动保障服务中心</w:t>
            </w:r>
          </w:p>
        </w:tc>
        <w:tc>
          <w:tcPr>
            <w:tcW w:w="1317" w:type="dxa"/>
            <w:tcBorders>
              <w:top w:val="single" w:color="auto" w:sz="4" w:space="0"/>
              <w:left w:val="nil"/>
              <w:bottom w:val="single" w:color="auto" w:sz="4" w:space="0"/>
              <w:right w:val="single" w:color="auto" w:sz="4" w:space="0"/>
            </w:tcBorders>
            <w:vAlign w:val="center"/>
          </w:tcPr>
          <w:p w14:paraId="732F71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社会保险法》（2010年10月28日通过，2018年12月29日修正）第八十八条：以欺诈、伪造证明材料或者其他手段骗取社会保险待遇的，由社会保险行政部门责令退回骗取的社会保险金，处骗取金额二倍以上五倍以下的罚款。</w:t>
            </w:r>
          </w:p>
          <w:p w14:paraId="0493D9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2.【行政法规】《工伤保险条例》（2003年4月27日国务院令第375号公布，2010年12月20日修订）第六十条： 用人单位、工伤职工或者其近亲属骗取工伤保险待遇的……由社会保险行政部门责令退还，处骗取金额2倍以上5倍以下的罚款……</w:t>
            </w:r>
          </w:p>
          <w:p w14:paraId="6B7746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失业保险条例》（1999年国务院令第258号发布）第二十八条：不符合享受失业保险待遇条件，骗取失业保险金和其他失业保险待遇的，由社会保险经办机构责令退还；情节严重的，由劳动保障行政部门处骗取金额1倍以上3倍以下的罚款。</w:t>
            </w:r>
          </w:p>
          <w:p w14:paraId="2E18D95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社会保险基金先行支付暂行办法》（2011年6月29日人社部令第15号公布，2018年12月14日修订）第十六条：个人隐瞒已经从第三人或者用人单位处获得医疗费用、工伤医疗费用或者工伤保险待遇，向社会保险经办机构申请并获得社会保险基金先行支付的，按照社会保险法第八十八条的规定处理。</w:t>
            </w:r>
          </w:p>
          <w:p w14:paraId="56BABA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工伤职工劳动能力鉴定管理办法》（2014年2月20日人社部、卫计委令第21号，2018年12月14日修订）第三十条：以欺诈、伪造证明材料或者其他手段骗取鉴定结论、领取工伤保险待遇的，按照《中华人民共和国社会保险法》第八十八条的规定，由人力资源社会保障行政部门责令退回骗取的社会保险金，处骗取金额2倍以上5倍以下的罚款。</w:t>
            </w:r>
          </w:p>
          <w:p w14:paraId="567C47A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部门规章】《工伤保险辅助器具配置管理办法》（2016年2月16日人社部、民政部、卫计委令第27号，2018年12月14日修订）第二十九条：用人单位、工伤职工或者其近亲属骗取工伤保险待遇，按照《工伤保险条例》第六十条的规定，由人力资源社会保障行政部门责令退还，处骗取金额2倍以上5倍以下的罚款；情节严重，构成犯罪的，依法追究刑事责任。</w:t>
            </w:r>
          </w:p>
        </w:tc>
        <w:tc>
          <w:tcPr>
            <w:tcW w:w="2698" w:type="dxa"/>
            <w:tcBorders>
              <w:top w:val="single" w:color="auto" w:sz="4" w:space="0"/>
              <w:left w:val="nil"/>
              <w:bottom w:val="single" w:color="auto" w:sz="4" w:space="0"/>
              <w:right w:val="single" w:color="auto" w:sz="4" w:space="0"/>
            </w:tcBorders>
            <w:vAlign w:val="center"/>
          </w:tcPr>
          <w:p w14:paraId="481B1A4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1.立案责任：对违法事项经过审查，认为有违法事实，依法需要给予行政处罚的办理登记立案手续。</w:t>
            </w:r>
          </w:p>
          <w:p w14:paraId="6C5319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2.调查责任：指定两名以上持有效行政执法证件的人员，对已作出立案查处决定的违法事项依法开展调查取证。</w:t>
            </w:r>
          </w:p>
          <w:p w14:paraId="0B0768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3.审查责任：市人力资源和社会保障局法制工作机构根据办案部门或办案人提交的调查报告和处理意见在法定时限内完成审核，并报本机关负责人进行审查。</w:t>
            </w:r>
          </w:p>
          <w:p w14:paraId="0E885F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4.告知责任：在作出处罚决定之前，行政执法机关及其行政执法人员应当告知相对人作出处罚决定的事实、理由及依据，并告知其依法享有的权利。</w:t>
            </w:r>
          </w:p>
          <w:p w14:paraId="52067D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5.决定责任：在完成审查、告知以及听证程序后，行政执法机关应在法定时限内依法作出行政处罚决定并制作规范的行政处罚决定书。</w:t>
            </w:r>
          </w:p>
          <w:p w14:paraId="1E5E20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6.送达责任：依法作出行政决定后，行政执法机关应在法定时限内根据法定送达途径将行政处罚决定书送达行政相对人。</w:t>
            </w:r>
          </w:p>
          <w:p w14:paraId="073D1E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7.执行责任：行政执法机关对逾期不执行行政处罚决定的行政相对人，应采取加处罚款、申请人民法院强制执行等方式，督促行政相对人履行处罚决定。</w:t>
            </w:r>
          </w:p>
          <w:p w14:paraId="73A527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8.监督责任：依法加强行政相对人对本级行政处罚决定事项执行情况的监督检查和对下级依法履行行政执法职责的监督检查。</w:t>
            </w:r>
          </w:p>
          <w:p w14:paraId="134261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F834F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342FAB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3452E2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符合立案标准的，行政机关应当及时立案。</w:t>
            </w:r>
          </w:p>
          <w:p w14:paraId="752451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3-1.【法律】《中华人民共和国行政处罚法》（1996年3月17日通过，2021年1月22日修订）第五十七条：调查终结，行政机关负责人应当对调查结果进行审查，根据不同情况，分别作出如下决定：</w:t>
            </w:r>
          </w:p>
          <w:p w14:paraId="200E6A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2987EB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67F43AB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EC3EB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39174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11002C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-2.【规范性文件】《国务院办公厅关于全面推行行政执法公示制度执法全过程记录制度重大执法决定法制审核制度的指导意见》（国办发〔2018〕118号）……四、全面推行重大执法决定法制审核制度……重大执法决定法制审核是确保行政执法机关作出的重大执法决定合法有效的关键环节。行政执法机关作出重大执法决定前，要严格进行法制审核，未经法制审核或者审核未通过的，不得作出决定。（十一）明确审核机构。各级行政执法机关要明确具体负责本单位重大执法决定法制审核的工作机构，确保法制审核工作有机构承担、有专人负责……</w:t>
            </w:r>
          </w:p>
          <w:p w14:paraId="6D3F7C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4.【法律】《中华人民共和国行政处罚法》（1996年3月17日通过，2021年1月22日修订）第四十四条 行政机关在作出行政处罚决定之前，应当告知当事人拟作出的行政处罚内容及事实、理由、依据，并告知当事人依法享有的陈述、申辩、要求听证等权利。</w:t>
            </w:r>
          </w:p>
          <w:p w14:paraId="678CDD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 行政机关依照本法第五十七条的规定给予行政处罚，应当制作行政处罚决定书。行政处罚决定书应当载明下列事项：………</w:t>
            </w:r>
          </w:p>
          <w:p w14:paraId="17208B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7594AE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第六十一条 行政处罚决定书应当在宣告后当场交付当事人；当事人不在场的，行政机关应当在七日内依照《中华人民共和国民事诉讼法》的有关规定，将行政处罚决定书送达当事人。</w:t>
            </w:r>
          </w:p>
          <w:p w14:paraId="06980B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七十二条当事人逾期不履行行政处罚决定的，作出行政处罚决定的行政机关可以采取下列措施：（一）到期不缴纳罚款的，每日按罚款数额的百分之三加处罚款，加处罚款的数额不得超出罚款的数额；</w:t>
            </w:r>
          </w:p>
          <w:p w14:paraId="2A7D8C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（二）根据法律规定，将查封、扣押的财物拍卖、依法处理或者将冻结的存款、汇款划拨抵缴罚款；</w:t>
            </w:r>
          </w:p>
          <w:p w14:paraId="3C50E9C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（三）根据法律规定，采取其他行政强制执行方式；</w:t>
            </w:r>
          </w:p>
          <w:p w14:paraId="252402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（四）依照《中华人民共和国行政强制法》的规定申请人民法院强制执行。</w:t>
            </w:r>
          </w:p>
          <w:p w14:paraId="01D833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行政机关批准延期、分期缴纳罚款的，申请人民法院强制执行的期限，自暂缓或者分期缴纳罚款期限结束之日起计算。</w:t>
            </w:r>
          </w:p>
          <w:p w14:paraId="4ADCC8E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1996年3月17日通过，2021年1月22日修订）第七十五条：行政机关应当建立健全对行政处罚的监督制度。县级以上人民政府应当定期组织开展行政执法评议、考核，加强对行政处罚的监督检查，规范和保障行政处罚的实施。</w:t>
            </w:r>
          </w:p>
        </w:tc>
        <w:tc>
          <w:tcPr>
            <w:tcW w:w="1942" w:type="dxa"/>
            <w:tcBorders>
              <w:top w:val="single" w:color="auto" w:sz="4" w:space="0"/>
              <w:left w:val="nil"/>
              <w:bottom w:val="single" w:color="auto" w:sz="4" w:space="0"/>
              <w:right w:val="single" w:color="auto" w:sz="4" w:space="0"/>
            </w:tcBorders>
            <w:vAlign w:val="center"/>
          </w:tcPr>
          <w:p w14:paraId="459DE0A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因不履行或不正确履行行政职责，有下列情形的，主管机关及相关工作人员应承担相应责任：</w:t>
            </w:r>
          </w:p>
          <w:p w14:paraId="0B2B553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40D20C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2.没有法律或者事实依据实施行政处罚的（机关纪委）；</w:t>
            </w:r>
          </w:p>
          <w:p w14:paraId="076BB79B">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3.未按法定程序实施行政处罚的（机关纪委）；</w:t>
            </w:r>
          </w:p>
          <w:p w14:paraId="2E8B509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4.违反规定应当回避而不回避，影响公正执行公务，造成不良后果的（机关纪委）；</w:t>
            </w:r>
          </w:p>
          <w:p w14:paraId="7E3536E8">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5.擅自设立处罚种类或者改变处罚幅度、范围的（机关纪委）；</w:t>
            </w:r>
          </w:p>
          <w:p w14:paraId="10D4091F">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6.依法应当移送其他行政部门或司法机关处理而不移送的（机关纪委）；</w:t>
            </w:r>
          </w:p>
          <w:p w14:paraId="5FB7F19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7.对当事人进行罚款、没收财物等行政处罚不使用法定单据的或不按规定上缴、处理罚款或没收财物的（机关纪委）；</w:t>
            </w:r>
          </w:p>
          <w:p w14:paraId="1CABA1AD">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8.在监督管理工作中滥用职权、玩忽职守、徇私舞弊的（机关纪委）；</w:t>
            </w:r>
          </w:p>
          <w:p w14:paraId="75057623">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49D7BD1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1.【法律】《中华人民共和国行政处罚法》（1996年3月17日通过，2021年1月22日修订）第八十三条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BAD1D3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2.【法律】《中华人民共和国行政处罚法》（1996年3月17日通过，2021年1月22日修订）第七十六条  行政机关实施行政处罚，有下列情形之一，由上级行政机关或者有关机关责令改正，对直接负责的主管人员和其他直接责任人员依法给予处分：</w:t>
            </w:r>
          </w:p>
          <w:p w14:paraId="48B0447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（一）没有法定的行政处罚依据的......</w:t>
            </w:r>
          </w:p>
          <w:p w14:paraId="3CB1C0FC">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3.【法律】《中华人民共和国行政处罚法》（1996年3月17日通过，2021年1月22日修订）第七十六条 行政机关实施行政处罚，有下列情形之一，由上级行政机关或者有关机关责令改正，对直接负责的主管人员和其他直接责任人员依法给予处分：</w:t>
            </w:r>
          </w:p>
          <w:p w14:paraId="457A4058">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......（三）违反法定的行政处罚程序的;</w:t>
            </w:r>
          </w:p>
          <w:p w14:paraId="03AB222D">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4.【行政法规】《行政机关公务员处分条例》（2007年国务院令第495号）第十九条  有下列行为之一的，给予警告、记过或者记大过处分；情节较重的，给予降级或者撤职处分；情节严重的，给予开除处分……（五）违反规定应当回避而不回避，影响公正执行公务，造成不良后果的……</w:t>
            </w:r>
          </w:p>
          <w:p w14:paraId="77D1CEEF">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5.【法律】《中华人民共和国行政处罚法》（1996年3月17日通过，2021年1月22日修订）第七十六条  行政机关实施行政处罚，有下列情形之一，由上级行政机关或者有关机关责令改正，对直接负责的主管人员和其他直接责任人员依法给予处分：</w:t>
            </w:r>
          </w:p>
          <w:p w14:paraId="25911B1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......（二）擅自改变行政处罚种类、幅度的......</w:t>
            </w:r>
          </w:p>
          <w:p w14:paraId="6D6A451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6.【法律】《中华人民共和国行政处罚法》（1996年3月17日通过，2021年1月22日修订）第八十二条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14:paraId="79AA2DF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7.【法律】《中华人民共和国行政处罚法》（1996年3月17日通过，2021年1月22日修订）第七十九条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14:paraId="350B4245">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E2A7253">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第八十条 行政机关使用或者损毁查封、扣押的财物，对当事人造成损失的，应当依法予以赔偿，对直接负责的主管人员和其他直接责任人员依法给予处分。</w:t>
            </w:r>
          </w:p>
          <w:p w14:paraId="35600867">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8.【行政法规】《行政机关公务员处分条例》（2007年国务院令第495号）第二十条　有下列行为之一的，给予记过、记大过处分；情节较重的，给予降级或者撤职处分；情节严重的，给予开除处分：……（四）其他玩忽职守、贻误工作的行为。第二十五条　有下列行为之一的，给予记过或者记大过处分；情节较重的，给予降级或者撤职处分；情节严重的，给予开除处分：……（五）其他滥用职权，侵害公民、法人或者其他组织合法权益的行为。</w:t>
            </w:r>
          </w:p>
        </w:tc>
        <w:tc>
          <w:tcPr>
            <w:tcW w:w="2130" w:type="dxa"/>
            <w:tcBorders>
              <w:top w:val="single" w:color="auto" w:sz="4" w:space="0"/>
              <w:left w:val="nil"/>
              <w:bottom w:val="single" w:color="auto" w:sz="4" w:space="0"/>
              <w:right w:val="single" w:color="auto" w:sz="4" w:space="0"/>
            </w:tcBorders>
            <w:vAlign w:val="center"/>
          </w:tcPr>
          <w:p w14:paraId="7927BA7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653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364277D">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32</w:t>
            </w:r>
          </w:p>
        </w:tc>
        <w:tc>
          <w:tcPr>
            <w:tcW w:w="1060" w:type="dxa"/>
            <w:tcBorders>
              <w:top w:val="single" w:color="auto" w:sz="4" w:space="0"/>
              <w:left w:val="nil"/>
              <w:bottom w:val="single" w:color="auto" w:sz="4" w:space="0"/>
              <w:right w:val="single" w:color="auto" w:sz="4" w:space="0"/>
            </w:tcBorders>
            <w:vAlign w:val="center"/>
          </w:tcPr>
          <w:p w14:paraId="463473F9">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1259BE1">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对隐匿、转移、侵占、挪用社会保险基金或违规投资运营的处罚</w:t>
            </w:r>
          </w:p>
        </w:tc>
        <w:tc>
          <w:tcPr>
            <w:tcW w:w="685" w:type="dxa"/>
            <w:tcBorders>
              <w:top w:val="single" w:color="auto" w:sz="4" w:space="0"/>
              <w:left w:val="nil"/>
              <w:bottom w:val="single" w:color="auto" w:sz="4" w:space="0"/>
              <w:right w:val="single" w:color="auto" w:sz="4" w:space="0"/>
            </w:tcBorders>
            <w:vAlign w:val="center"/>
          </w:tcPr>
          <w:p w14:paraId="23BB9CBF">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6031AA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D92B9EF">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城中区人力资源和社会保障局、城中区劳动保障服务中心</w:t>
            </w:r>
          </w:p>
        </w:tc>
        <w:tc>
          <w:tcPr>
            <w:tcW w:w="1317" w:type="dxa"/>
            <w:tcBorders>
              <w:top w:val="single" w:color="auto" w:sz="4" w:space="0"/>
              <w:left w:val="nil"/>
              <w:bottom w:val="single" w:color="auto" w:sz="4" w:space="0"/>
              <w:right w:val="single" w:color="auto" w:sz="4" w:space="0"/>
            </w:tcBorders>
            <w:vAlign w:val="center"/>
          </w:tcPr>
          <w:p w14:paraId="0E33A1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社会保险法》（2010年10月28日通过，2018年12月29日修正）第九十一条：违反本法规定，隐匿、转移、侵占、挪用社会保险基金或者违规投资运营的，由社会保险行政部门、财政部门、审计机关责令追回；有违法所得的，没收违法所得……。</w:t>
            </w:r>
          </w:p>
          <w:p w14:paraId="04D721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失业保险条例》（1999年国务院令第258号发布）第三十一条：任何单位、个人挪用失业保险基金的，追回挪用的失业保险基金；有违法所得的，没收违法所得，并入失业保险基金；构成犯罪的，依法追究刑事责任；尚不构成犯罪的，对直接负责的主管人员和其他直接责任人员依法给予行政处分。</w:t>
            </w:r>
          </w:p>
          <w:p w14:paraId="1D2A5F2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部门规章】《实施〈中华人民共和国社会保险法〉若干规定》（人力资源社会保障部令第13号）第二十六条：社会保险经办机构、社会保险费征收机构、社会保险基金投资运营机构、开设社会保险基金专户的机构和专户管理银行及其工作人员有下列违法情形的，由社会保险行政部门按照社会保险法第九十一条的规定查处：（一）将应征和已征的社会保险基金，采取隐藏、非法放置等手段，未按规定征缴、入账的；（二）违规将社会保险基金转入社会保险基金专户以外的账户的；（三）侵吞社会保险基金的；（四）将各项社会保险基金互相挤占或者其他社会保障基金挤占社会保险基金的；（五）将社会保险基金用于平衡财政预算，兴建、改建办公场所和支付人员经费、运行费用、管理费用的；（六）违反国家规定的投资运营政策的。</w:t>
            </w:r>
          </w:p>
        </w:tc>
        <w:tc>
          <w:tcPr>
            <w:tcW w:w="2698" w:type="dxa"/>
            <w:tcBorders>
              <w:top w:val="single" w:color="auto" w:sz="4" w:space="0"/>
              <w:left w:val="nil"/>
              <w:bottom w:val="single" w:color="auto" w:sz="4" w:space="0"/>
              <w:right w:val="single" w:color="auto" w:sz="4" w:space="0"/>
            </w:tcBorders>
            <w:vAlign w:val="center"/>
          </w:tcPr>
          <w:p w14:paraId="2B29F0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1.立案责任：对违法事项经过审查，认为有违法事实，依法需要给予行政处罚的办理登记立案手续。</w:t>
            </w:r>
          </w:p>
          <w:p w14:paraId="67A5FB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2.调查责任：指定两名以上持有效行政执法证件的人员，对已作出立案查处决定的违法事项依法开展调查取证。</w:t>
            </w:r>
          </w:p>
          <w:p w14:paraId="0A29956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3.审查责任：市人力资源和社会保障局法制工作机构根据办案部门或办案人提交的调查报告和处理意见在法定时限内完成审核，并报本机关负责人进行审查。</w:t>
            </w:r>
          </w:p>
          <w:p w14:paraId="1E967E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4.告知责任：在作出处罚决定之前，行政执法机关及其行政执法人员应当告知相对人作出处罚决定的事实、理由及依据，并告知其依法享有的权利。</w:t>
            </w:r>
          </w:p>
          <w:p w14:paraId="27BA26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5.决定责任：在完成审查、告知以及听证程序后，行政执法机关应在法定时限内依法作出行政处罚决定并制作规范的行政处罚决定书。</w:t>
            </w:r>
          </w:p>
          <w:p w14:paraId="41A38A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6.送达责任：依法作出行政决定后，行政执法机关应在法定时限内根据法定送达途径将行政处罚决定书送达行政相对人。</w:t>
            </w:r>
          </w:p>
          <w:p w14:paraId="465A41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7.执行责任：行政执法机关对逾期不执行行政处罚决定的行政相对人，应采取加处罚款、申请人民法院强制执行等方式，督促行政相对人履行处罚决定。</w:t>
            </w:r>
          </w:p>
          <w:p w14:paraId="465F15A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8.监督责任：依法加强行政相对人对本级行政处罚决定事项执行情况的监督检查和对下级依法履行行政执法职责的监督检查。</w:t>
            </w:r>
          </w:p>
          <w:p w14:paraId="41B086A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7BB0473C">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w:t>
            </w:r>
            <w:r>
              <w:rPr>
                <w:rFonts w:hint="eastAsia" w:eastAsia="仿宋_GB2312" w:cs="仿宋_GB2312"/>
                <w:snapToGrid w:val="0"/>
                <w:sz w:val="20"/>
                <w:szCs w:val="20"/>
                <w:highlight w:val="none"/>
              </w:rPr>
              <w:t>【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5D8719CE">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2.</w:t>
            </w:r>
            <w:r>
              <w:rPr>
                <w:rFonts w:hint="eastAsia" w:eastAsia="仿宋_GB2312" w:cs="仿宋_GB2312"/>
                <w:snapToGrid w:val="0"/>
                <w:sz w:val="20"/>
                <w:szCs w:val="20"/>
                <w:highlight w:val="none"/>
              </w:rPr>
              <w:t>【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1517F7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符合立案标准的，行政机关应当及时立案。</w:t>
            </w:r>
          </w:p>
          <w:p w14:paraId="2FDF3439">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3-1.</w:t>
            </w:r>
            <w:r>
              <w:rPr>
                <w:rFonts w:hint="eastAsia" w:eastAsia="仿宋_GB2312" w:cs="仿宋_GB2312"/>
                <w:snapToGrid w:val="0"/>
                <w:sz w:val="20"/>
                <w:szCs w:val="20"/>
                <w:highlight w:val="none"/>
              </w:rPr>
              <w:t>【法律】《中华人民共和国行政处罚法》（1996年3月17日通过，2021年1月22日修订）第五十七条调查终结，行政机关负责人应当对调查结果进行审查，根据不同情况，分别作出如下决定：</w:t>
            </w:r>
          </w:p>
          <w:p w14:paraId="1824E7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7563396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F2242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3CB000B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82636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6F3C158D">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3-2.【规范性文件】《国务院办公厅关于全面推行行政执法公示制度执法全过程记录制度重大执法决定法制审核制度的指导意见》（国办发〔2018〕118号）……四、全面推行重大执法决定法制审核制度……重大执法决定法制审核是确保行政执法机关作出的重大执法决定合法有效的关键环节。行政执法机关作出重大执法决定前，要严格进行法制审核，未经法制审核或者审核未通过的，不得作出决定。（十一）明确审核机构。各级行政执法机关要明确具体负责本单位重大执法决定法制审核的工作机构，确保法制审核工作有机构承担、有专人负责……</w:t>
            </w:r>
          </w:p>
          <w:p w14:paraId="622D02BF">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4.【法律】</w:t>
            </w:r>
            <w:r>
              <w:rPr>
                <w:rFonts w:hint="eastAsia" w:eastAsia="仿宋_GB2312" w:cs="仿宋_GB2312"/>
                <w:snapToGrid w:val="0"/>
                <w:sz w:val="20"/>
                <w:szCs w:val="20"/>
                <w:highlight w:val="none"/>
              </w:rPr>
              <w:t>《中华人民共和国行政处罚法》（1996年3月17日通过，2021年1月22日修订）第四十四条行政机关在作出行政处罚决定之前，应当告知当事人拟作出的行政处罚内容及事实、理由、依据，并告知当事人依法享有的陈述、申辩、要求听证等权利。</w:t>
            </w:r>
          </w:p>
          <w:p w14:paraId="176C2BDC">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5.【法律】</w:t>
            </w:r>
            <w:r>
              <w:rPr>
                <w:rFonts w:hint="eastAsia" w:eastAsia="仿宋_GB2312" w:cs="仿宋_GB2312"/>
                <w:snapToGrid w:val="0"/>
                <w:sz w:val="20"/>
                <w:szCs w:val="20"/>
                <w:highlight w:val="none"/>
              </w:rPr>
              <w:t>《中华人民共和国行政处罚法》（1996年3月17日通过，2021年1月22日修订）第五十九条：行政机关依照本法第五十七条的规定给予行政处罚，应当制作行政处罚决定书。行政处罚决定书应当载明下列事项：………</w:t>
            </w:r>
          </w:p>
          <w:p w14:paraId="4F5044A6">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6.【法律】</w:t>
            </w:r>
            <w:r>
              <w:rPr>
                <w:rFonts w:hint="eastAsia" w:eastAsia="仿宋_GB2312" w:cs="仿宋_GB2312"/>
                <w:snapToGrid w:val="0"/>
                <w:sz w:val="20"/>
                <w:szCs w:val="20"/>
                <w:highlight w:val="none"/>
              </w:rPr>
              <w:t>《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345E7B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第六十一条行政处罚决定书应当在宣告后当场交付当事人；当事人不在场的，行政机关应当在七日内依照《中华人民共和国民事诉讼法》的有关规定，将行政处罚决定书送达当事人。</w:t>
            </w:r>
          </w:p>
          <w:p w14:paraId="1F5556D8">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7.【法律】</w:t>
            </w:r>
            <w:r>
              <w:rPr>
                <w:rFonts w:hint="eastAsia" w:eastAsia="仿宋_GB2312" w:cs="仿宋_GB2312"/>
                <w:snapToGrid w:val="0"/>
                <w:sz w:val="20"/>
                <w:szCs w:val="20"/>
                <w:highlight w:val="none"/>
              </w:rPr>
              <w:t>《中华人民共和国行政处罚法》（1996年3月17日通过，2021年1月22日修订）第七十二条当事人逾期不履行行政处罚决定的，作出行政处罚决定的行政机关可以采取下列措施：（一）到期不缴纳罚款的，每日按罚款数额的百分之三加处罚款，加处罚款的数额不得超出罚款的数额；</w:t>
            </w:r>
          </w:p>
          <w:p w14:paraId="30F450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（二）根据法律规定，将查封、扣押的财物拍卖、依法处理或者将冻结的存款、汇款划拨抵缴罚款；</w:t>
            </w:r>
          </w:p>
          <w:p w14:paraId="2B7595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（三）根据法律规定，采取其他行政强制执行方式；</w:t>
            </w:r>
          </w:p>
          <w:p w14:paraId="65DD23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（四）依照《中华人民共和国行政强制法》的规定申请人民法院强制执行。</w:t>
            </w:r>
            <w:r>
              <w:rPr>
                <w:rFonts w:eastAsia="仿宋_GB2312" w:cs="仿宋_GB2312"/>
                <w:snapToGrid w:val="0"/>
                <w:sz w:val="20"/>
                <w:szCs w:val="20"/>
                <w:highlight w:val="none"/>
              </w:rPr>
              <w:t>8.【法律】</w:t>
            </w:r>
            <w:r>
              <w:rPr>
                <w:rFonts w:hint="eastAsia" w:eastAsia="仿宋_GB2312" w:cs="仿宋_GB2312"/>
                <w:snapToGrid w:val="0"/>
                <w:sz w:val="20"/>
                <w:szCs w:val="20"/>
                <w:highlight w:val="none"/>
              </w:rPr>
              <w:t>《中华人民共和国行政处罚法》（1996年3月17日通过，2021年1月22日修订）第七十五条：行政机关应当建立健全对行政处罚的监督制度。县级以上人民政府应当定期组织开展行政执法评议、考核，加强对行政处罚的监督检查，规范和保障行政处罚的实施。</w:t>
            </w:r>
          </w:p>
        </w:tc>
        <w:tc>
          <w:tcPr>
            <w:tcW w:w="1942" w:type="dxa"/>
            <w:tcBorders>
              <w:top w:val="single" w:color="auto" w:sz="4" w:space="0"/>
              <w:left w:val="nil"/>
              <w:bottom w:val="single" w:color="auto" w:sz="4" w:space="0"/>
              <w:right w:val="single" w:color="auto" w:sz="4" w:space="0"/>
            </w:tcBorders>
            <w:vAlign w:val="center"/>
          </w:tcPr>
          <w:p w14:paraId="5950172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因不履行或不正确履行行政职责，有下列情形的，主管机关及相关工作人员应承担相应责任：</w:t>
            </w:r>
          </w:p>
          <w:p w14:paraId="2207E7E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1233063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2.没有法律或者事实依据实施行政处罚的（机关纪委）；</w:t>
            </w:r>
          </w:p>
          <w:p w14:paraId="6F67CD7D">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3.未按法定程序实施行政处罚的（机关纪委）；</w:t>
            </w:r>
          </w:p>
          <w:p w14:paraId="2AA7675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4.违反规定应当回避而不回避，影响公正执行公务，造成不良后果的（机关纪委）；</w:t>
            </w:r>
          </w:p>
          <w:p w14:paraId="7EEB17B7">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5.擅自设立处罚种类或者改变处罚幅度、范围的（机关纪委）；</w:t>
            </w:r>
          </w:p>
          <w:p w14:paraId="3D56A05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6.依法应当移送其他行政部门或司法机关处理而不移送的（机关纪委）；</w:t>
            </w:r>
          </w:p>
          <w:p w14:paraId="3386DB9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7.对当事人进行罚款、没收财物等行政处罚不使用法定单据的或不按规定上缴、处理罚款或没收财物的（机关纪委）；</w:t>
            </w:r>
          </w:p>
          <w:p w14:paraId="40338AA5">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8.在监督管理工作中滥用职权、玩忽职守、徇私舞弊的（机关纪委）；</w:t>
            </w:r>
          </w:p>
          <w:p w14:paraId="22F74B22">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6CF326B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1.【法律】《中华人民共和国行政处罚法》（1996年3月17日通过，2021年1月22日修订）第八十三条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78BFC40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2.【法律】《中华人民共和国行政处罚法》（1996年3月17日通过，2021年1月22日修订）第七十六条  行政机关实施行政处罚，有下列情形之一，由上级行政机关或者有关机关责令改正，对直接负责的主管人员和其他直接责任人员依法给予处分：</w:t>
            </w:r>
          </w:p>
          <w:p w14:paraId="35D7213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（一）没有法定的行政处罚依据的......</w:t>
            </w:r>
          </w:p>
          <w:p w14:paraId="4BF3A1E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3.【法律】《中华人民共和国行政处罚法》（1996年3月17日通过，2021年1月22日修订）第七十六条 行政机关实施行政处罚，有下列情形之一，由上级行政机关或者有关机关责令改正，对直接负责的主管人员和其他直接责任人员依法给予处分：</w:t>
            </w:r>
          </w:p>
          <w:p w14:paraId="7A03F37E">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......（三）违反法定的行政处罚程序的;</w:t>
            </w:r>
          </w:p>
          <w:p w14:paraId="596909F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4.【行政法规】《行政机关公务员处分条例》（2007年国务院令第495号）第十九条  有下列行为之一的，给予警告、记过或者记大过处分；情节较重的，给予降级或者撤职处分；情节严重的，给予开除处分……（五）违反规定应当回避而不回避，影响公正执行公务，造成不良后果的……</w:t>
            </w:r>
          </w:p>
          <w:p w14:paraId="77A01A5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5.【法律】《中华人民共和国行政处罚法》（1996年3月17日通过，2021年1月22日修订）第七十六条  行政机关实施行政处罚，有下列情形之一，由上级行政机关或者有关机关责令改正，对直接负责的主管人员和其他直接责任人员依法给予处分：</w:t>
            </w:r>
          </w:p>
          <w:p w14:paraId="1635F30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......（二）擅自改变行政处罚种类、幅度的......</w:t>
            </w:r>
          </w:p>
          <w:p w14:paraId="068208DE">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6.【法律】《中华人民共和国行政处罚法》（1996年3月17日通过，2021年1月22日修订）第八十二条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14:paraId="30285D59">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7.【法律】《中华人民共和国行政处罚法》（1996年3月17日通过，2021年1月22日修订）第七十九条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14:paraId="706EAB9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C78354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第八十条 行政机关使用或者损毁查封、扣押的财物，对当事人造成损失的，应当依法予以赔偿，对直接负责的主管人员和其他直接责任人员依法给予处分。</w:t>
            </w:r>
          </w:p>
          <w:p w14:paraId="103A18E4">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8.【行政法规】《行政机关公务员处分条例》（2007年国务院令第495号）第二十条　有下列行为之一的，给予记过、记大过处分；情节较重的，给予降级或者撤职处分；情节严重的，给予开除处分：……（四）其他玩忽职守、贻误工作的行为。第二十五条　有下列行为之一的，给予记过或者记大过处分；情节较重的，给予降级或者撤职处分；情节严重的，给予开除处分：……（五）其他滥用职权，侵害公民、法人或者其他组织合法权益的行为。</w:t>
            </w:r>
          </w:p>
        </w:tc>
        <w:tc>
          <w:tcPr>
            <w:tcW w:w="2130" w:type="dxa"/>
            <w:tcBorders>
              <w:top w:val="single" w:color="auto" w:sz="4" w:space="0"/>
              <w:left w:val="nil"/>
              <w:bottom w:val="single" w:color="auto" w:sz="4" w:space="0"/>
              <w:right w:val="single" w:color="auto" w:sz="4" w:space="0"/>
            </w:tcBorders>
            <w:vAlign w:val="center"/>
          </w:tcPr>
          <w:p w14:paraId="58A1C4D9">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9F3F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E842C41">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33</w:t>
            </w:r>
          </w:p>
        </w:tc>
        <w:tc>
          <w:tcPr>
            <w:tcW w:w="1060" w:type="dxa"/>
            <w:tcBorders>
              <w:top w:val="single" w:color="auto" w:sz="4" w:space="0"/>
              <w:left w:val="nil"/>
              <w:bottom w:val="single" w:color="auto" w:sz="4" w:space="0"/>
              <w:right w:val="single" w:color="auto" w:sz="4" w:space="0"/>
            </w:tcBorders>
            <w:vAlign w:val="center"/>
          </w:tcPr>
          <w:p w14:paraId="1B51E1D5">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640CDA0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对以实物、有价证券等形式代替货币支付农民工工资的处罚</w:t>
            </w:r>
          </w:p>
        </w:tc>
        <w:tc>
          <w:tcPr>
            <w:tcW w:w="685" w:type="dxa"/>
            <w:tcBorders>
              <w:top w:val="single" w:color="auto" w:sz="4" w:space="0"/>
              <w:left w:val="nil"/>
              <w:bottom w:val="single" w:color="auto" w:sz="4" w:space="0"/>
              <w:right w:val="single" w:color="auto" w:sz="4" w:space="0"/>
            </w:tcBorders>
            <w:vAlign w:val="center"/>
          </w:tcPr>
          <w:p w14:paraId="68F8B471">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A89C99F">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19771F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19C0D1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保障农民工工资支付条例》（2019年12月30日国务院令第724号）第五十四条：有下列情形之一的，由人力资源社会保障行政部门责令限期改正；逾期不改正的，对单位处2万元以上5万元以下的罚款，对法定代表人或者主要负责人、直接负责的主管人员和其他直接责任人员处1万元以上3万元以下的罚款：（一）以实物、有价证券等形式代替货币支付农民工工资；（二）未编制工资支付台账并依法保存，或者未向农民工提供工资清单；（三）扣押或者变相扣押用于支付农民工工资的银行账户所绑定的农民工本人社会保障卡或者银行卡。</w:t>
            </w:r>
          </w:p>
          <w:p w14:paraId="098DE5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2.【规范性文件】《广西壮族自治区人力资源和社会保障厅  广西壮族自治区住房和城乡建设厅  广西壮族自治区交通运输厅  广西壮族自治区水利厅关于印发保障农民工工资支付条例第五十四条至第五十七条广西壮族自治区行政裁量权基准的通知》（桂人社规〔2021〕10号，2021年11月24日印发）序号1：“……由人力资源社会保障行政部门负责查处，责令限期改正；逾期不改正的，处罚款”。</w:t>
            </w:r>
          </w:p>
        </w:tc>
        <w:tc>
          <w:tcPr>
            <w:tcW w:w="2698" w:type="dxa"/>
            <w:tcBorders>
              <w:top w:val="single" w:color="auto" w:sz="4" w:space="0"/>
              <w:left w:val="nil"/>
              <w:bottom w:val="single" w:color="auto" w:sz="4" w:space="0"/>
              <w:right w:val="single" w:color="auto" w:sz="4" w:space="0"/>
            </w:tcBorders>
            <w:vAlign w:val="center"/>
          </w:tcPr>
          <w:p w14:paraId="28A577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3AD299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211B5F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5B282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7F7E47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660B06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1F8FC6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535F68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4F7873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080BB8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9BDEE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0779C44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317A98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41FE4F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7CE3BC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AB527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673B49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1FF2B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FA219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5AD709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41A568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527B6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136D0D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0F4800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35AAA0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2D003E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744661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09FE693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79B2980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2B475BB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540803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8E76A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789791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F0C25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7644D8A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51F747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7AD2D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7C8C87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3D767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27E43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7D1B8E6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3A8C4B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582AC0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4BDEA1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48D0AF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24ACB7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000C240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03420AE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6400E6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2F37B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15969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294A5DC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11D5B5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70EFF0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6CD600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37F924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2FFF55A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530600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3D94EC6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2E7DE4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1A8FE0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0D386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FC594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6DAFF0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48EA2C7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4123B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B07BDA0">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34</w:t>
            </w:r>
          </w:p>
        </w:tc>
        <w:tc>
          <w:tcPr>
            <w:tcW w:w="1060" w:type="dxa"/>
            <w:tcBorders>
              <w:top w:val="single" w:color="auto" w:sz="4" w:space="0"/>
              <w:left w:val="nil"/>
              <w:bottom w:val="single" w:color="auto" w:sz="4" w:space="0"/>
              <w:right w:val="single" w:color="auto" w:sz="4" w:space="0"/>
            </w:tcBorders>
            <w:vAlign w:val="center"/>
          </w:tcPr>
          <w:p w14:paraId="2FDD4A6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7E35592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对未编制工资支付台账并依法保存，或者未向农民工提供工资清单的处罚</w:t>
            </w:r>
          </w:p>
        </w:tc>
        <w:tc>
          <w:tcPr>
            <w:tcW w:w="685" w:type="dxa"/>
            <w:tcBorders>
              <w:top w:val="single" w:color="auto" w:sz="4" w:space="0"/>
              <w:left w:val="nil"/>
              <w:bottom w:val="single" w:color="auto" w:sz="4" w:space="0"/>
              <w:right w:val="single" w:color="auto" w:sz="4" w:space="0"/>
            </w:tcBorders>
            <w:vAlign w:val="center"/>
          </w:tcPr>
          <w:p w14:paraId="0818DA0A">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7ACFEC9">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550B043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15E10B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保障农民工工资支付条例》（2019年12月30日国务院令第724号）第五十四条：有下列情形之一的，由人力资源社会保障行政部门责令限期改正；逾期不改正的，对单位处2万元以上5万元以下的罚款，对法定代表人或者主要负责人、直接负责的主管人员和其他直接责任人员处1万元以上3万元以下的罚款：（一）以实物、有价证券等形式代替货币支付农民工工资；（二）未编制工资支付台账并依法保存，或者未向农民工提供工资清单；（三）扣押或者变相扣押用于支付农民工工资的银行账户所绑定的农民工本人社会保障卡或者银行卡。</w:t>
            </w:r>
          </w:p>
          <w:p w14:paraId="42084C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2.【规范性文件】《广西壮族自治区人力资源和社会保障厅  广西壮族自治区住房和城乡建设厅  广西壮族自治区交通运输厅  广西壮族自治区水利厅关于印发保障农民工工资支付条例第五十四条至第五十七条广西壮族自治区行政裁量权基准的通知》（桂人社规〔2021〕10号，2021年11月24日印发）序号2：“……由人力资源社会保障行政部门负责查处，责令限期改正；逾期不改正的，处罚款”。</w:t>
            </w:r>
          </w:p>
        </w:tc>
        <w:tc>
          <w:tcPr>
            <w:tcW w:w="2698" w:type="dxa"/>
            <w:tcBorders>
              <w:top w:val="single" w:color="auto" w:sz="4" w:space="0"/>
              <w:left w:val="nil"/>
              <w:bottom w:val="single" w:color="auto" w:sz="4" w:space="0"/>
              <w:right w:val="single" w:color="auto" w:sz="4" w:space="0"/>
            </w:tcBorders>
            <w:vAlign w:val="center"/>
          </w:tcPr>
          <w:p w14:paraId="5979309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239783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45EFD4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214783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25C689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6E103F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7DC10D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1AD75C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0EC7D9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2873882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3FCEE95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1FD37F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036202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464350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7C6475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0C40AE6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20B8E9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35B1804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563C0B7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578007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480C20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1CFB74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289509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203436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7BDC4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698CDF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09FD4C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1898C29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0E2D11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4BE67B6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09DC26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118CB6F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FA7463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AAFEAD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3B35A6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433046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EB7286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55A8737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EF3B5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9D7AE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00A89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3971C5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464B4F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237B6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13458E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70384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03FF47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90769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21CF86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45B63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41EF8C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68527C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A5FF41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638BAC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9FB851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4F2366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4BEEEA2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D0B57B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6F15D9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5672C5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5C6EADF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0F30E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3AE14E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9E4F7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2314C622">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D5B8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628568A">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35</w:t>
            </w:r>
          </w:p>
        </w:tc>
        <w:tc>
          <w:tcPr>
            <w:tcW w:w="1060" w:type="dxa"/>
            <w:tcBorders>
              <w:top w:val="single" w:color="auto" w:sz="4" w:space="0"/>
              <w:left w:val="nil"/>
              <w:bottom w:val="single" w:color="auto" w:sz="4" w:space="0"/>
              <w:right w:val="single" w:color="auto" w:sz="4" w:space="0"/>
            </w:tcBorders>
            <w:vAlign w:val="center"/>
          </w:tcPr>
          <w:p w14:paraId="7CB3BA56">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4CB99D58">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对扣押或者变相扣押用于支付农民工工资的银行账户所绑定的农民工本人社会保障卡或者银行卡的处罚</w:t>
            </w:r>
          </w:p>
        </w:tc>
        <w:tc>
          <w:tcPr>
            <w:tcW w:w="685" w:type="dxa"/>
            <w:tcBorders>
              <w:top w:val="single" w:color="auto" w:sz="4" w:space="0"/>
              <w:left w:val="nil"/>
              <w:bottom w:val="single" w:color="auto" w:sz="4" w:space="0"/>
              <w:right w:val="single" w:color="auto" w:sz="4" w:space="0"/>
            </w:tcBorders>
            <w:vAlign w:val="center"/>
          </w:tcPr>
          <w:p w14:paraId="140A5098">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A366D6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120150E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7B2FB1D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保障农民工工资支付条例》（2019年12月30日国务院令第724号）第五十四条：有下列情形之一的，由人力资源社会保障行政部门责令限期改正；逾期不改正的，对单位处2万元以上5万元以下的罚款，对法定代表人或者主要负责人、直接负责的主管人员和其他直接责任人员处1万元以上3万元以下的罚款：（一）以实物、有价证券等形式代替货币支付农民工工资；（二）未编制工资支付台账并依法保存，或者未向农民工提供工资清单；（三）扣押或者变相扣押用于支付农民工工资的银行账户所绑定的农民工本人社会保障卡或者银行卡。</w:t>
            </w:r>
          </w:p>
          <w:p w14:paraId="0DECF8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2.【规范性文件】《广西壮族自治区人力资源和社会保障厅  广西壮族自治区住房和城乡建设厅  广西壮族自治区交通运输厅  广西壮族自治区水利厅关于印发保障农民工工资支付条例第五十四条至第五十七条广西壮族自治区行政裁量权基准的通知》（桂人社规〔2021〕10号，2021年11月24日印发）序号3：“……由人力资源社会保障行政部门负责查处，责令限期改正；逾期不改正的，处罚款”。</w:t>
            </w:r>
          </w:p>
        </w:tc>
        <w:tc>
          <w:tcPr>
            <w:tcW w:w="2698" w:type="dxa"/>
            <w:tcBorders>
              <w:top w:val="single" w:color="auto" w:sz="4" w:space="0"/>
              <w:left w:val="nil"/>
              <w:bottom w:val="single" w:color="auto" w:sz="4" w:space="0"/>
              <w:right w:val="single" w:color="auto" w:sz="4" w:space="0"/>
            </w:tcBorders>
            <w:vAlign w:val="center"/>
          </w:tcPr>
          <w:p w14:paraId="159AA0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6D1429F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E09900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19595D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6934A4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74786A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24A276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30CDED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38710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610A1D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34BE04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55A8EB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1ADF47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1AA4915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FD45A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282C38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549D0A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F4FDD7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605E19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4A44B3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6D786E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62CC6B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7B3388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1019819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2AA0B5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23B817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064D8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16101C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36E170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5A27013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1D57964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367BBE7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5DAB40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CAE2D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B0D845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5451DF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48FB0A1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BFD5D0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7F06C7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8B686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7288DE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1BBCE5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6DA876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452DFD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14237D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77BE140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CDEFB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64E6BA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B9D412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78D95C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56BFF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CD1194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D7B40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CF12DC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B5916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A55781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7E5EEA7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D39BB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4B33C4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627BD5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3C03ED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EA9720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AC69D9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0A29AB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384BBF2D">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B583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FB57141">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36</w:t>
            </w:r>
          </w:p>
        </w:tc>
        <w:tc>
          <w:tcPr>
            <w:tcW w:w="1060" w:type="dxa"/>
            <w:tcBorders>
              <w:top w:val="single" w:color="auto" w:sz="4" w:space="0"/>
              <w:left w:val="nil"/>
              <w:bottom w:val="single" w:color="auto" w:sz="4" w:space="0"/>
              <w:right w:val="single" w:color="auto" w:sz="4" w:space="0"/>
            </w:tcBorders>
            <w:vAlign w:val="center"/>
          </w:tcPr>
          <w:p w14:paraId="31859E9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4BAA211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对企业拒绝或故意拖延工资集体协商等四种行为的处罚</w:t>
            </w:r>
          </w:p>
        </w:tc>
        <w:tc>
          <w:tcPr>
            <w:tcW w:w="685" w:type="dxa"/>
            <w:tcBorders>
              <w:top w:val="single" w:color="auto" w:sz="4" w:space="0"/>
              <w:left w:val="nil"/>
              <w:bottom w:val="single" w:color="auto" w:sz="4" w:space="0"/>
              <w:right w:val="single" w:color="auto" w:sz="4" w:space="0"/>
            </w:tcBorders>
            <w:vAlign w:val="center"/>
          </w:tcPr>
          <w:p w14:paraId="353043E5">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91E237D">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260C2A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60416B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地方性法规】《广西壮族自治区企业工资集体协商条例》（2015年5月27日广西第十二届人大常委会第十六次会议通过）第四十九条第一款：企业违反本条例规定,有下列情形之一的,由县级以上人民政府人力资源和社会保障部门给予警告,并责令限期改正；逾期不改的,将其记入社会诚信档案,通过媒体向社会公布：（一）拒绝或者故意拖延工资集体协商的；（二）拒绝提供或者不如实提供与工资集体协商有关的情况和资料的；（三）不向协商代表提供开展工资集体协商所必需的工作条件和工作时间的；（四）有其他阻碍开展工资集体协商行为的。</w:t>
            </w:r>
          </w:p>
        </w:tc>
        <w:tc>
          <w:tcPr>
            <w:tcW w:w="2698" w:type="dxa"/>
            <w:tcBorders>
              <w:top w:val="single" w:color="auto" w:sz="4" w:space="0"/>
              <w:left w:val="nil"/>
              <w:bottom w:val="single" w:color="auto" w:sz="4" w:space="0"/>
              <w:right w:val="single" w:color="auto" w:sz="4" w:space="0"/>
            </w:tcBorders>
            <w:vAlign w:val="center"/>
          </w:tcPr>
          <w:p w14:paraId="1FE8543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7062C4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466A2B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6936B8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1E308F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12A4B7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053C12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3C3C6E7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0BECBE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0D1BB9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14B41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5F43B5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6CA4EB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589DC76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6E35D4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6703E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37487D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2DE7BD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58341F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3B92A1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1B3344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20237C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4BD991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163D45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4CD56D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14868C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68CB1B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7684C2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07B53B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47A2776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1A8916F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3BFBEB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23332AC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1AFB45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637411E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7FECCB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316BE2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03B4451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11DA61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6FACD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7ED410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6FDD83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C2A6F6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6CD0D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5826C8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34949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134CD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2D3B63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60A7BD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73A22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768D7F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3E35F3F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35C9D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6A51E1E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2EA987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39537C9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5E355B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5019F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239858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6219F5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65946A4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203D4A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8547E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D90EB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41FB6A2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983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F25DAFF">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37</w:t>
            </w:r>
          </w:p>
        </w:tc>
        <w:tc>
          <w:tcPr>
            <w:tcW w:w="1060" w:type="dxa"/>
            <w:tcBorders>
              <w:top w:val="single" w:color="auto" w:sz="4" w:space="0"/>
              <w:left w:val="nil"/>
              <w:bottom w:val="single" w:color="auto" w:sz="4" w:space="0"/>
              <w:right w:val="single" w:color="auto" w:sz="4" w:space="0"/>
            </w:tcBorders>
            <w:vAlign w:val="center"/>
          </w:tcPr>
          <w:p w14:paraId="1AFB829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41B651E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对企业拒绝或故意拖延工资集体协商、拒绝提供或者不如实提供与工资集体协商有关的情况和资料行为责令限期改正逾期不改的处罚</w:t>
            </w:r>
          </w:p>
        </w:tc>
        <w:tc>
          <w:tcPr>
            <w:tcW w:w="685" w:type="dxa"/>
            <w:tcBorders>
              <w:top w:val="single" w:color="auto" w:sz="4" w:space="0"/>
              <w:left w:val="nil"/>
              <w:bottom w:val="single" w:color="auto" w:sz="4" w:space="0"/>
              <w:right w:val="single" w:color="auto" w:sz="4" w:space="0"/>
            </w:tcBorders>
            <w:vAlign w:val="center"/>
          </w:tcPr>
          <w:p w14:paraId="6DF17A1A">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5CB32A9">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88A600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C910E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地方性法规】《广西壮族自治区企业工资集体协商条例》（2015年5月27日广西第十二届人大常委会第十六次会议通过）第四十九条：企业违反本条例规定，有下列情形之一的，由县级以上人民政府人力资源和社会保障部门给予警告，并责令限期改正；逾期不改的，将其记入社会诚信档案，通过媒体向社会公布：</w:t>
            </w:r>
          </w:p>
          <w:p w14:paraId="4B89C6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（一）拒绝或者故意拖延工资集体协商的；</w:t>
            </w:r>
          </w:p>
          <w:p w14:paraId="27E8E8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（二）拒绝提供或者不如实提供与工资集体协商有关的情况和资料的；</w:t>
            </w:r>
          </w:p>
          <w:p w14:paraId="7AEE9D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（三）不向协商代表提供开展工资集体协商所必需的工作条件和工作时间的；</w:t>
            </w:r>
          </w:p>
          <w:p w14:paraId="00E242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（四）有其他阻碍开展工资集体协商行为的。</w:t>
            </w:r>
          </w:p>
          <w:p w14:paraId="106195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企业有前款第一项、第二项行为，经责令限期改正，逾期不改的，县级以上人民政府人力资源和社会保障部门可以对企业处以五千元以上五万元以下罚款；企业三年内不得享受各级政府的奖励和扶持政策；政府以及有关部门三年内不受理其在经营方面的评优评先申请，不授予其文明单位等荣誉称号；企业经营者三年内不得参加劳动模范、优秀企业家等评优评先。</w:t>
            </w:r>
          </w:p>
        </w:tc>
        <w:tc>
          <w:tcPr>
            <w:tcW w:w="2698" w:type="dxa"/>
            <w:tcBorders>
              <w:top w:val="single" w:color="auto" w:sz="4" w:space="0"/>
              <w:left w:val="nil"/>
              <w:bottom w:val="single" w:color="auto" w:sz="4" w:space="0"/>
              <w:right w:val="single" w:color="auto" w:sz="4" w:space="0"/>
            </w:tcBorders>
            <w:vAlign w:val="center"/>
          </w:tcPr>
          <w:p w14:paraId="257CD6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1.立案阶段责任：人力资源社会保障行政部门通过日常巡视检查、书面审查、举报、投诉等发现用人单位有违反劳动保障法律的行为，需要进行调查处理的，应当依据有关法律法规作出是否立案的决定。</w:t>
            </w:r>
          </w:p>
          <w:p w14:paraId="5BDCA2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阶段责任：人力资源社会保障行政部门对立案的案件，指定专人负责，与当事人有直接利害关系的应当回避。执法人员不得少于两人，应指定一名为主办劳动保障监察员，调查时应出示执法证件，允许当事人辩解陈述，执法人员应保守有关秘密。劳动保障行政处罚案件自立案之日起60个工作日、案情复杂的可延长30个工作日，完成调查。</w:t>
            </w:r>
          </w:p>
          <w:p w14:paraId="7CF938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3.审查阶段责任：人力资源社会保障行政部门应当对案件违法事实、证据、调查取证程序、法律适用、处罚种类和幅度，当事人陈述和申辩理由等方面进行审查，提出处理意见。</w:t>
            </w:r>
          </w:p>
          <w:p w14:paraId="4DE83F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4.告知阶段责任：在作出处罚决定之前，应书面告知当事人违法事实极其享有的陈述、申辩和要求听证的权利。</w:t>
            </w:r>
          </w:p>
          <w:p w14:paraId="314D73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5.决定阶段责任：根据审理情况决定是否予以行政处罚。依法需要给予行政处罚的，制作行政处罚决定书，载明违法事实和证据、处罚依据和内容、申请行政复议或提起行政诉讼的途径和期限等内容。</w:t>
            </w:r>
          </w:p>
          <w:p w14:paraId="567F64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6.送达阶段责任：行政处罚决定书应当依照有关规定送达当事人。</w:t>
            </w:r>
          </w:p>
          <w:p w14:paraId="77A18C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7.执行阶段责任：监督当事人在决定的期限内，履行生效的行政处罚决定。当事人在法定期限内不申请行政复议或者提起行政诉讼，又不履行的，可依法采取申请人民法院强制执行等措施。</w:t>
            </w:r>
          </w:p>
          <w:p w14:paraId="7C6D50C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6EFEE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处罚法》（1996年3月17日通过，2021年1月22日修订）第四十条：公民、法人或者其他组织违反行政管理秩序的行为，依法应当给予行政处罚的，行政机关必须查明事实；违法事实不清、证据不足的，不得给予行政处罚。</w:t>
            </w:r>
          </w:p>
          <w:p w14:paraId="2B7D65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-1.【法律】《中华人民共和国行政处罚法》（1996年3月17日通过，2021年1月22日修订）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4DE833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-2.【法律】《中华人民共和国行政处罚法》（1996年3月17日通过，2021年1月22日修订）第四十二条：行政处罚应当由具有行政执法资格的执法人员实施。执法人员不得少于两人，法律另有规定的除外。执法人员应当文明执法，尊重和保护当事人合法权益。</w:t>
            </w:r>
          </w:p>
          <w:p w14:paraId="31FF4B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p>
          <w:p w14:paraId="5346A72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14:paraId="27298B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ED8E0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F77BD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231AC6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4D0E9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1E76F5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0314A9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中华人民共和国行政处罚法》（1996年3月17日通过，2021年1月22日修订）第七条：公民、法人或者其他组织对行政机关所给予的行政处罚，享有陈述权、申辩权；对行政处罚不服的，有权依法申请行政复议或者提起行政诉讼。公民、法人或者其他组织因行政机关违法给予行政处罚受到损害的，有权依法提出赔偿要求。</w:t>
            </w:r>
          </w:p>
          <w:p w14:paraId="70963C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中华人民共和国行政处罚法》（1996年3月17日通过，2021年1月22日修订）第五十九条：行政机关依照本法第五十七条的规定给予行政处罚，应当制作行政处罚决定书。行政处罚决定书应当载明下列事项：</w:t>
            </w:r>
          </w:p>
          <w:p w14:paraId="702F40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（一）当事人的姓名或者名称、地址；</w:t>
            </w:r>
          </w:p>
          <w:p w14:paraId="3FBFC5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（二）违反法律、法规、规章的事实和证据；</w:t>
            </w:r>
          </w:p>
          <w:p w14:paraId="408CA0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（三）行政处罚的种类和依据；</w:t>
            </w:r>
          </w:p>
          <w:p w14:paraId="7280CF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（四）行政处罚的履行方式和期限；</w:t>
            </w:r>
          </w:p>
          <w:p w14:paraId="1EA05A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（五）申请行政复议、提起行政诉讼的途径和期限；</w:t>
            </w:r>
          </w:p>
          <w:p w14:paraId="4983D1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（六）作出行政处罚决定的行政机关名称和作出决定的日期。行政处罚决定书必须盖有作出行政处罚决定的行政机关的印章。</w:t>
            </w:r>
          </w:p>
          <w:p w14:paraId="58C1CD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处罚法》（1996年3月17日通过，2021年1月22日修订）第五十二条：执法人员当场作出行政处罚决定的，应当向当事人出示执法证件，填写预定格式、编有号码的行政处罚决定书，并当场交付当事人。当事人拒绝签收的，应当在行政处罚决定书上注明。</w:t>
            </w:r>
          </w:p>
          <w:p w14:paraId="14FDEB6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7.【法律】《中华人民共和国行政处罚法》（1996年3月17日通过，2021年1月22日修订）第六十六条：行政处罚决定依法作出后，当事人应当在行政处罚决定书载明的期限内，予以履行。</w:t>
            </w:r>
          </w:p>
        </w:tc>
        <w:tc>
          <w:tcPr>
            <w:tcW w:w="1942" w:type="dxa"/>
            <w:tcBorders>
              <w:top w:val="single" w:color="auto" w:sz="4" w:space="0"/>
              <w:left w:val="nil"/>
              <w:bottom w:val="single" w:color="auto" w:sz="4" w:space="0"/>
              <w:right w:val="single" w:color="auto" w:sz="4" w:space="0"/>
            </w:tcBorders>
            <w:vAlign w:val="center"/>
          </w:tcPr>
          <w:p w14:paraId="0D7A8D8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6CF3DD9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C5964D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A691BD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F81246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845F3A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3A04F3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411D151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C10873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5080E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11B7A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5A5C2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2B7EF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149205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731686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6C6233A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681585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058490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1D261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20D2BB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F306AB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EE61A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A5F00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20B9D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39B1D37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8D15CA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41F3703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7D5AA4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668EB64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5BD9EA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1967ED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482258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7AF7F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6636C1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16BCC8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0839D968">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4AAD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73A371E">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38</w:t>
            </w:r>
          </w:p>
        </w:tc>
        <w:tc>
          <w:tcPr>
            <w:tcW w:w="1060" w:type="dxa"/>
            <w:tcBorders>
              <w:top w:val="single" w:color="auto" w:sz="4" w:space="0"/>
              <w:left w:val="nil"/>
              <w:bottom w:val="single" w:color="auto" w:sz="4" w:space="0"/>
              <w:right w:val="single" w:color="auto" w:sz="4" w:space="0"/>
            </w:tcBorders>
            <w:vAlign w:val="center"/>
          </w:tcPr>
          <w:p w14:paraId="7AD94DA7">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921556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对企业未按照国家规定提取职工教育经费，或者挪用职工教育经费行为的处罚</w:t>
            </w:r>
          </w:p>
        </w:tc>
        <w:tc>
          <w:tcPr>
            <w:tcW w:w="685" w:type="dxa"/>
            <w:tcBorders>
              <w:top w:val="single" w:color="auto" w:sz="4" w:space="0"/>
              <w:left w:val="nil"/>
              <w:bottom w:val="single" w:color="auto" w:sz="4" w:space="0"/>
              <w:right w:val="single" w:color="auto" w:sz="4" w:space="0"/>
            </w:tcBorders>
            <w:vAlign w:val="center"/>
          </w:tcPr>
          <w:p w14:paraId="67D57654">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D22B88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22E8AB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7D3D935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就业促进法》（2007年8月30日主席令第70号通过，2015年4月24日修正）第六十七条：违反本法规定，企业未按照国家规定提取职工教育经费，或者挪用职工教育经费的，由劳动行政部门责令改正，并依法给予处罚。</w:t>
            </w:r>
          </w:p>
        </w:tc>
        <w:tc>
          <w:tcPr>
            <w:tcW w:w="2698" w:type="dxa"/>
            <w:tcBorders>
              <w:top w:val="single" w:color="auto" w:sz="4" w:space="0"/>
              <w:left w:val="nil"/>
              <w:bottom w:val="single" w:color="auto" w:sz="4" w:space="0"/>
              <w:right w:val="single" w:color="auto" w:sz="4" w:space="0"/>
            </w:tcBorders>
            <w:vAlign w:val="center"/>
          </w:tcPr>
          <w:p w14:paraId="3BD838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48C22F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47F076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4C0B37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6B4A1C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1BAD68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636EE7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05DA9A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1100F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25C535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68F7AC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0FE24E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1129E9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63DC0B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15656D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3BFF11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7AA68A8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4135851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8AC457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779FB6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09F2C7E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6C50D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4EC8B5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575161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379672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67796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522F2F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6424E4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48319CB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2CD683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7A7AB2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18E163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160A09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1A949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3AD83D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64081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4F6F4D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2A6E45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75268CF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762D77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9E71C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3C502E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62DF027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48646A3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755B08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2E6758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6DA80C8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FC404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6B157A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A537B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4C67EBDA">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1F2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9BE365A">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39</w:t>
            </w:r>
          </w:p>
        </w:tc>
        <w:tc>
          <w:tcPr>
            <w:tcW w:w="1060" w:type="dxa"/>
            <w:tcBorders>
              <w:top w:val="single" w:color="auto" w:sz="4" w:space="0"/>
              <w:left w:val="nil"/>
              <w:bottom w:val="single" w:color="auto" w:sz="4" w:space="0"/>
              <w:right w:val="single" w:color="auto" w:sz="4" w:space="0"/>
            </w:tcBorders>
            <w:vAlign w:val="center"/>
          </w:tcPr>
          <w:p w14:paraId="263AB4FF">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0B277FDE">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对经营性人力资源服务机构开展人力资源服务业务未备案的处罚</w:t>
            </w:r>
          </w:p>
        </w:tc>
        <w:tc>
          <w:tcPr>
            <w:tcW w:w="685" w:type="dxa"/>
            <w:tcBorders>
              <w:top w:val="single" w:color="auto" w:sz="4" w:space="0"/>
              <w:left w:val="nil"/>
              <w:bottom w:val="single" w:color="auto" w:sz="4" w:space="0"/>
              <w:right w:val="single" w:color="auto" w:sz="4" w:space="0"/>
            </w:tcBorders>
            <w:vAlign w:val="center"/>
          </w:tcPr>
          <w:p w14:paraId="290A1771">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0734D3F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1B594F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00A925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人力资源市场暂行条例》（2018年6月29日国务院令第700号公布）第四十二条第二款：违反本条例第十八条第二款规定，开展人力资源服务业务未备案，违反本条例第二十条、第二十一条规定，设立分支机构、办理变更或者注销登记未书面报告的，由人力资源社会保障行政部门责令改正；拒不改正的，处5000元以上1万元以下的罚款。</w:t>
            </w:r>
          </w:p>
          <w:p w14:paraId="437E5D0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十八条第二款：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w:t>
            </w:r>
          </w:p>
        </w:tc>
        <w:tc>
          <w:tcPr>
            <w:tcW w:w="2698" w:type="dxa"/>
            <w:tcBorders>
              <w:top w:val="single" w:color="auto" w:sz="4" w:space="0"/>
              <w:left w:val="nil"/>
              <w:bottom w:val="single" w:color="auto" w:sz="4" w:space="0"/>
              <w:right w:val="single" w:color="auto" w:sz="4" w:space="0"/>
            </w:tcBorders>
            <w:vAlign w:val="center"/>
          </w:tcPr>
          <w:p w14:paraId="5F559C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479865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4B78AA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021C254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3ABA33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5770E5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3065F2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4F7466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4CCAAD6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0D67CB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050773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481C04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4B50C4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08B8E16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2F06A1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14BFFD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1E076D1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6A9486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74CDBB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378A8C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410D949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2348724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56AD3B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0BD5B97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CEDE2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389010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31FC4F9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192CDE2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46FB9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39F12C5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D855A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689981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2EDCDE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AC37F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0BBEA5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6E366B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62F9E63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CA71F1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4BF8B9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6B5085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59CF92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C60090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18DF78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785387D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76815A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A542B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096259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5A54B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12ADC2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2DEB61D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2D915C7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47C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7C95468">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40</w:t>
            </w:r>
          </w:p>
        </w:tc>
        <w:tc>
          <w:tcPr>
            <w:tcW w:w="1060" w:type="dxa"/>
            <w:tcBorders>
              <w:top w:val="single" w:color="auto" w:sz="4" w:space="0"/>
              <w:left w:val="nil"/>
              <w:bottom w:val="single" w:color="auto" w:sz="4" w:space="0"/>
              <w:right w:val="single" w:color="auto" w:sz="4" w:space="0"/>
            </w:tcBorders>
            <w:vAlign w:val="center"/>
          </w:tcPr>
          <w:p w14:paraId="6F5C2820">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DB5707A">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对经营性人力资源服务机构设立分支机构、办理变更或者注销登记未书面报告的处罚</w:t>
            </w:r>
          </w:p>
        </w:tc>
        <w:tc>
          <w:tcPr>
            <w:tcW w:w="685" w:type="dxa"/>
            <w:tcBorders>
              <w:top w:val="single" w:color="auto" w:sz="4" w:space="0"/>
              <w:left w:val="nil"/>
              <w:bottom w:val="single" w:color="auto" w:sz="4" w:space="0"/>
              <w:right w:val="single" w:color="auto" w:sz="4" w:space="0"/>
            </w:tcBorders>
            <w:vAlign w:val="center"/>
          </w:tcPr>
          <w:p w14:paraId="703381C1">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EE419F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33282A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038946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人力资源市场暂行条例》（2018年6月29日国务院令第700号公布）第四十二条第二款：违反本条例第十八条第二款规定，开展人力资源服务业务未备案，违反本条例第二十条、第二十一条规定，设立分支机构、办理变更或者注销登记未书面报告的，由人力资源社会保障行政部门责令改正；拒不改正的，处5000元以上2万元以下的罚款。</w:t>
            </w:r>
          </w:p>
          <w:p w14:paraId="2FA571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第二十条：经营性人力资源服务机构设立分支机构的，应当自工商登记办理完毕之日起15日内，书面报告分支机构所在地人力资源社会保障行政部门。</w:t>
            </w:r>
          </w:p>
          <w:p w14:paraId="1E1AEFD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第二十一条：经营性人力资源服务机构变更名称、住所、法定代表人或者终止经营活动的，应当自工商变更登记或者注销登记办理完毕之日起15日内，书面报告人力资源社会保障行政部门。</w:t>
            </w:r>
          </w:p>
        </w:tc>
        <w:tc>
          <w:tcPr>
            <w:tcW w:w="2698" w:type="dxa"/>
            <w:tcBorders>
              <w:top w:val="single" w:color="auto" w:sz="4" w:space="0"/>
              <w:left w:val="nil"/>
              <w:bottom w:val="single" w:color="auto" w:sz="4" w:space="0"/>
              <w:right w:val="single" w:color="auto" w:sz="4" w:space="0"/>
            </w:tcBorders>
            <w:vAlign w:val="center"/>
          </w:tcPr>
          <w:p w14:paraId="657009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2C01E3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33EA11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56C4DD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5D71B5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3B9522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6FBE6F7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5540716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0BCAC47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42827B5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09F112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32E1420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7D2102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083502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25D2D89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519DC6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2E8FE3E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DFCD5D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46AC79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605630F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359080B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163AB24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0F6ACE6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0B1463A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E5B5BC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8096A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0A009CB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032A2D2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1E707D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0D1108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7F114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6AD121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44E5AC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2DA5E5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4BC4CFF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F2C6B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2C1489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0759774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135CBF5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36743D4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00D7B4C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04D898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5C1CEA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56DC755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0E4C82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3073503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7195C2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50D46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72E74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7C4A92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522E7E2">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ABBB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39DE754A">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41</w:t>
            </w:r>
          </w:p>
        </w:tc>
        <w:tc>
          <w:tcPr>
            <w:tcW w:w="1060" w:type="dxa"/>
            <w:tcBorders>
              <w:top w:val="single" w:color="auto" w:sz="4" w:space="0"/>
              <w:left w:val="nil"/>
              <w:bottom w:val="single" w:color="auto" w:sz="4" w:space="0"/>
              <w:right w:val="single" w:color="auto" w:sz="4" w:space="0"/>
            </w:tcBorders>
            <w:vAlign w:val="center"/>
          </w:tcPr>
          <w:p w14:paraId="2256F9D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55FBE527">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对擅自举办民办职业培训学校的处罚</w:t>
            </w:r>
          </w:p>
        </w:tc>
        <w:tc>
          <w:tcPr>
            <w:tcW w:w="685" w:type="dxa"/>
            <w:tcBorders>
              <w:top w:val="single" w:color="auto" w:sz="4" w:space="0"/>
              <w:left w:val="nil"/>
              <w:bottom w:val="single" w:color="auto" w:sz="4" w:space="0"/>
              <w:right w:val="single" w:color="auto" w:sz="4" w:space="0"/>
            </w:tcBorders>
            <w:vAlign w:val="center"/>
          </w:tcPr>
          <w:p w14:paraId="4AE7880E">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592DAE4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E1050AD">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206AC7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民办教育促进法》（2002年12月28日通过，2018年12月29日主席令第24号第三次修正）第六十四条：违反国家有关规定擅自举办民办学校的，由所在地县级以上地方人民政府教育行政部门或者人力资源社会保障行政部门会同公安、民政或者市场监督管理等有关部门责令停止办学、退还所收费用，并对举办者处违法所得一倍以上五倍以下罚款；构成违反社会治安管理行为的，由公安机关依法给予治安管理处罚；构成犯罪的，依法追究刑事责任。</w:t>
            </w:r>
          </w:p>
        </w:tc>
        <w:tc>
          <w:tcPr>
            <w:tcW w:w="2698" w:type="dxa"/>
            <w:tcBorders>
              <w:top w:val="single" w:color="auto" w:sz="4" w:space="0"/>
              <w:left w:val="nil"/>
              <w:bottom w:val="single" w:color="auto" w:sz="4" w:space="0"/>
              <w:right w:val="single" w:color="auto" w:sz="4" w:space="0"/>
            </w:tcBorders>
            <w:vAlign w:val="center"/>
          </w:tcPr>
          <w:p w14:paraId="648021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5A6A5B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21C301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5F561B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2FD19B3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7C3B79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4FEF09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3C05515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5BBB2E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2C08B0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658F79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0CA470D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6AF76A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3E7C09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3D57FA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1C520C6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747F939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4C6EA1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06F920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5B87DCC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90E8F1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970CD8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2893583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0F0CA5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44978C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5BC63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659220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3B70A01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772B32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4D8C84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082FC1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469481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53066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025E4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6FD9C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65DE8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2C2517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15C5E7C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1B84CC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A95770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6A874ED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28443F8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2CD69A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07A20C1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284E6E8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54D1D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609929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A907E2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6041A5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0A78DE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336C37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1BC8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334AB9D0">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42</w:t>
            </w:r>
          </w:p>
        </w:tc>
        <w:tc>
          <w:tcPr>
            <w:tcW w:w="1060" w:type="dxa"/>
            <w:tcBorders>
              <w:top w:val="single" w:color="auto" w:sz="4" w:space="0"/>
              <w:left w:val="nil"/>
              <w:bottom w:val="single" w:color="auto" w:sz="4" w:space="0"/>
              <w:right w:val="single" w:color="auto" w:sz="4" w:space="0"/>
            </w:tcBorders>
            <w:vAlign w:val="center"/>
          </w:tcPr>
          <w:p w14:paraId="061062D1">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608F3727">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对民办职业培训学校违反规定，擅自改变学校组织形式、管理混乱、虚开证明、恶意终止办学、挪用办学经费等行为的处罚</w:t>
            </w:r>
          </w:p>
        </w:tc>
        <w:tc>
          <w:tcPr>
            <w:tcW w:w="685" w:type="dxa"/>
            <w:tcBorders>
              <w:top w:val="single" w:color="auto" w:sz="4" w:space="0"/>
              <w:left w:val="nil"/>
              <w:bottom w:val="single" w:color="auto" w:sz="4" w:space="0"/>
              <w:right w:val="single" w:color="auto" w:sz="4" w:space="0"/>
            </w:tcBorders>
            <w:vAlign w:val="center"/>
          </w:tcPr>
          <w:p w14:paraId="5AC1D951">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B9857E7">
            <w:pPr>
              <w:widowControl/>
              <w:adjustRightInd w:val="0"/>
              <w:snapToGrid w:val="0"/>
              <w:spacing w:line="300" w:lineRule="exac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5478247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BCC7E5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民办教育促进法》（2002年12月28日通过，2018年12月29日主席令第24号第三次修正）第六十二条：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构成犯罪的，依法追究刑事责任：（一）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p w14:paraId="2EA7B8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民办教育促进法实施条例》（2004年3月5日国务院令第399号，2021年4月7日国务院令第741号修订）第六十三条：民办学校有下列情形之一的，依照民办教育促进法第六十二条规定给予处罚：（一）违背国家教育方针，偏离社会主义办学方向，或者未保障学校党组织履行职责的；（二）违反法律、行政法规和国家有关规定开展教育教学活动的；（三）理事会、董事会或者其他形式决策机构未依法履行职责的；（四）教学条件明显不能满足教学要求、教育教学质量低下，未及时采取措施的；（五）校舍、其他教育教学设施设备存在重大安全隐患，未及时采取措施的；（六）侵犯受教育者的合法权益，产生恶劣社会影响的；（七）违反国家规定聘任、解聘教师，或者未依法保障教职工待遇的；（八）违反规定招生，或者在招生过程中弄虚作假的；（九）超出办学许可范围，擅自改变办学地址或者设立分校的；（十）未依法履行公示办学条件和教育质量有关材料、财务状况等信息披露义务，或者公示的材料不真实的；（十一）未按照国家统一的会计制度进行会计核算、编制财务会计报告，财务、资产管理混乱，或者违反法律、法规增加收费项目、提高收费标准的；（十二）有其他管理混乱严重影响教育教学的行为的。法律、行政法规对前款规定情形的处罚另有规定的，从其规定”。第六十四条第一款：“民办学校有民办教育促进法第六十二条或者本条例第六十三条规定的违法情形的，由县级以上人民政府教育行政部门、人力资源社会保障行政部门或者其他有关部门依据职责分工对学校决策机构负责人、校长及直接责任人予以警告……。</w:t>
            </w:r>
          </w:p>
        </w:tc>
        <w:tc>
          <w:tcPr>
            <w:tcW w:w="2698" w:type="dxa"/>
            <w:tcBorders>
              <w:top w:val="single" w:color="auto" w:sz="4" w:space="0"/>
              <w:left w:val="nil"/>
              <w:bottom w:val="single" w:color="auto" w:sz="4" w:space="0"/>
              <w:right w:val="single" w:color="auto" w:sz="4" w:space="0"/>
            </w:tcBorders>
            <w:vAlign w:val="center"/>
          </w:tcPr>
          <w:p w14:paraId="32D69E6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40A4ED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7C65B5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5172DF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73A899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12D28C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w:t>
            </w:r>
          </w:p>
          <w:p w14:paraId="6174D7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定逾期不履行的，劳动保障行政部门可申请人民法院强制执行。</w:t>
            </w:r>
          </w:p>
          <w:p w14:paraId="47C896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6E6E163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482F5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0797C17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3084DEC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1821EC2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4B2E9E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138D44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5872CD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4A2E9C8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6DD387F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614CC57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316ECD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47216D2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4A3786A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107A6AF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540775A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59539D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FCF8A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5D1D57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5BBED5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7E8CC9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3D8BF8F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360B6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3C5A98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02B736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2A3756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67A4E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08C5C2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2CED0E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2236B0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32FA14C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78F55ED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6E333D1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71C21CE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06843BE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3C95B5D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9B6D3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55B39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9EDAE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6DA990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5E3BC4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4EC367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3E68C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65A5C915">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2295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307AF15D">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43</w:t>
            </w:r>
          </w:p>
        </w:tc>
        <w:tc>
          <w:tcPr>
            <w:tcW w:w="1060" w:type="dxa"/>
            <w:tcBorders>
              <w:top w:val="single" w:color="auto" w:sz="4" w:space="0"/>
              <w:left w:val="nil"/>
              <w:bottom w:val="single" w:color="auto" w:sz="4" w:space="0"/>
              <w:right w:val="single" w:color="auto" w:sz="4" w:space="0"/>
            </w:tcBorders>
            <w:vAlign w:val="center"/>
          </w:tcPr>
          <w:p w14:paraId="12DDC220">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322CE19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对专业技术人员继续教育机构违反规定，未认真实施继续教育教学计划、公开继续教育的范围、内容、收费项目及标准等行为的处罚</w:t>
            </w:r>
          </w:p>
        </w:tc>
        <w:tc>
          <w:tcPr>
            <w:tcW w:w="685" w:type="dxa"/>
            <w:tcBorders>
              <w:top w:val="single" w:color="auto" w:sz="4" w:space="0"/>
              <w:left w:val="nil"/>
              <w:bottom w:val="single" w:color="auto" w:sz="4" w:space="0"/>
              <w:right w:val="single" w:color="auto" w:sz="4" w:space="0"/>
            </w:tcBorders>
            <w:vAlign w:val="center"/>
          </w:tcPr>
          <w:p w14:paraId="544FAED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BE213C0">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340A8ED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452698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专业技术人员继续教育规定》（2015年8月13日人力资源社会保障部令第25号公布）第二十九条：继续教育机构违反本规定第十九条第一款规定的，由人力资源社会保障行政部门或者有关行业主管部门责令改正，给予警告。</w:t>
            </w:r>
          </w:p>
          <w:p w14:paraId="5CFD38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第十九条第一款：继续教育机构应当认真实施继续教育教学计划，向社会公开继续教育的范围、内容、收费项目及标准等情况，建立教学档案，根据考试考核结果如实出具专业技术人员参加继续教育的证明。</w:t>
            </w:r>
          </w:p>
        </w:tc>
        <w:tc>
          <w:tcPr>
            <w:tcW w:w="2698" w:type="dxa"/>
            <w:tcBorders>
              <w:top w:val="single" w:color="auto" w:sz="4" w:space="0"/>
              <w:left w:val="nil"/>
              <w:bottom w:val="single" w:color="auto" w:sz="4" w:space="0"/>
              <w:right w:val="single" w:color="auto" w:sz="4" w:space="0"/>
            </w:tcBorders>
            <w:vAlign w:val="center"/>
          </w:tcPr>
          <w:p w14:paraId="4AE264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77AB9FB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54F91D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62C74B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52F7D4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374CB7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3C0A09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42C221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6DD2D0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2E15342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5DCA44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289A5A5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7B47FF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603348F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07E10C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3FFC955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3725E24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105ED66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57C31C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E7089B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52FC1D1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32351F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594AEA5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7ED8DF0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081B64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5C4D57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5E08417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A7F9E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3E333B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56BA7A3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7FE67C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16D7D77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0A1476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5BF1C5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6BF91E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54309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567EDE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184EE6A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242A5DC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910674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029C62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1BD59F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2654C65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597430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671D949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20B4476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0EFE38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29A31AE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40AC0E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034F2C7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1CC4D9F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B556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3D81CFD">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44</w:t>
            </w:r>
          </w:p>
        </w:tc>
        <w:tc>
          <w:tcPr>
            <w:tcW w:w="1060" w:type="dxa"/>
            <w:tcBorders>
              <w:top w:val="single" w:color="auto" w:sz="4" w:space="0"/>
              <w:left w:val="nil"/>
              <w:bottom w:val="single" w:color="auto" w:sz="4" w:space="0"/>
              <w:right w:val="single" w:color="auto" w:sz="4" w:space="0"/>
            </w:tcBorders>
            <w:vAlign w:val="center"/>
          </w:tcPr>
          <w:p w14:paraId="476F159E">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722FF38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对用人单位以民族、性别、宗教信仰为由拒绝聘用或者提高聘用标准的，招聘不得招聘人员的，以及向应聘者收取费用或采取欺诈等手段谋取非法利益的处罚</w:t>
            </w:r>
          </w:p>
        </w:tc>
        <w:tc>
          <w:tcPr>
            <w:tcW w:w="685" w:type="dxa"/>
            <w:tcBorders>
              <w:top w:val="single" w:color="auto" w:sz="4" w:space="0"/>
              <w:left w:val="nil"/>
              <w:bottom w:val="single" w:color="auto" w:sz="4" w:space="0"/>
              <w:right w:val="single" w:color="auto" w:sz="4" w:space="0"/>
            </w:tcBorders>
            <w:vAlign w:val="center"/>
          </w:tcPr>
          <w:p w14:paraId="63B89835">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53731E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3AF26C8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163F0A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人才市场管理规定》（2001年9月11日人事部、国家工商行政管理总局令第1号公布，2019年12月31日第四次修订）第三十六条：用人单位违反本规定，以民族、性别、宗教信仰为由拒绝聘用或者提高聘用标准的，招聘不得招聘人员的，以及向应聘者收取费用或采取欺诈等手段谋取非法利益的，由县级以上政府人事行政部门责令改正；情节严重的，并处10000元以下罚款。</w:t>
            </w:r>
          </w:p>
        </w:tc>
        <w:tc>
          <w:tcPr>
            <w:tcW w:w="2698" w:type="dxa"/>
            <w:tcBorders>
              <w:top w:val="single" w:color="auto" w:sz="4" w:space="0"/>
              <w:left w:val="nil"/>
              <w:bottom w:val="single" w:color="auto" w:sz="4" w:space="0"/>
              <w:right w:val="single" w:color="auto" w:sz="4" w:space="0"/>
            </w:tcBorders>
            <w:vAlign w:val="center"/>
          </w:tcPr>
          <w:p w14:paraId="229E47A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4C31BC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744BF8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289F627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4A1A17C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0D5BCC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6040F0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17EC8FB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0AA07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4757B8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20A2BE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623FE68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1015E2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7D74588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11EE0E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0525A4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45146CB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29A9968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744F660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7D26A28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1110E0B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61D30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7E2DBA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EF0789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6902C7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39A756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31EB84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019CFE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62E4D6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EFBDE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2152975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6A65F4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E736B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3B2DC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7D70B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1A2B6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7AA147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599E370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669AC6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76325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318A3E9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0C5D16D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74F5510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25921BA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3BA212C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1F9A65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5BCF07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4DE263B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93AF4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61A1188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8E5B26E">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5D3D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BF16693">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45</w:t>
            </w:r>
          </w:p>
        </w:tc>
        <w:tc>
          <w:tcPr>
            <w:tcW w:w="1060" w:type="dxa"/>
            <w:tcBorders>
              <w:top w:val="single" w:color="auto" w:sz="4" w:space="0"/>
              <w:left w:val="nil"/>
              <w:bottom w:val="single" w:color="auto" w:sz="4" w:space="0"/>
              <w:right w:val="single" w:color="auto" w:sz="4" w:space="0"/>
            </w:tcBorders>
            <w:vAlign w:val="center"/>
          </w:tcPr>
          <w:p w14:paraId="20D2CD81">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10CCFFF4">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对通过不实承诺取得人力资源服务许可的处罚</w:t>
            </w:r>
          </w:p>
        </w:tc>
        <w:tc>
          <w:tcPr>
            <w:tcW w:w="685" w:type="dxa"/>
            <w:tcBorders>
              <w:top w:val="single" w:color="auto" w:sz="4" w:space="0"/>
              <w:left w:val="nil"/>
              <w:bottom w:val="single" w:color="auto" w:sz="4" w:space="0"/>
              <w:right w:val="single" w:color="auto" w:sz="4" w:space="0"/>
            </w:tcBorders>
            <w:vAlign w:val="center"/>
          </w:tcPr>
          <w:p w14:paraId="4CD01807">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34BDB7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00C89B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68C36E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地方性法规】《广西壮族自治区人力资源市场条例》（2022年3月24日广西第十三届人大常委会第二十八次会议通过）第五十一条：违反本条例第二十六条第二款规定，通过不实承诺取得人力资源服务许可的，由登记地的设区的市或者县级人民政府人力资源社会保障行政部门依法撤销其人力资源服务许可证，予以关闭或者责令停止从事职业中介活动；有违法所得的，除依法应当退赔的外，没收违法所得，并处一万元以上五万元以下的罚款；</w:t>
            </w:r>
          </w:p>
          <w:p w14:paraId="04B981A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二十六条第二款：申请人通过告知承诺制方式申请办理人力资源服务许可的，应当如实签署告知承诺书，并对承诺的真实性、合法性负责；申请人书面承诺符合告知承诺制要求并按照规定提交材料的，人力资源社会保障行政部门应当当场作出行政许可决定。</w:t>
            </w:r>
          </w:p>
        </w:tc>
        <w:tc>
          <w:tcPr>
            <w:tcW w:w="2698" w:type="dxa"/>
            <w:tcBorders>
              <w:top w:val="single" w:color="auto" w:sz="4" w:space="0"/>
              <w:left w:val="nil"/>
              <w:bottom w:val="single" w:color="auto" w:sz="4" w:space="0"/>
              <w:right w:val="single" w:color="auto" w:sz="4" w:space="0"/>
            </w:tcBorders>
            <w:vAlign w:val="center"/>
          </w:tcPr>
          <w:p w14:paraId="60C09A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3B70E0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322053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5C9D24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3C1ACAE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31316B0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5904C3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3BA7AA3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0062FD4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2E5A563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720907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7EA5058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360D97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520F70D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0E8901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622E41E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321E817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30250F9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28B5E43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1863916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2F4422C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4EA2CB3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7F7C51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0B97D43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746331E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59AC9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50B3B1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5378507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28D0B5A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57F5D7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22C96E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344ACB5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19F980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1053E2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33F52B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F2123B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7350C6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10DF925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B8A72F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58B837B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423DC7C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6180BC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1D6326F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A1085D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1227D1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2ED2DB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511D0E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12D7FD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2213EC4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4FA7B91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64024E2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2AD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598834F">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46</w:t>
            </w:r>
          </w:p>
        </w:tc>
        <w:tc>
          <w:tcPr>
            <w:tcW w:w="1060" w:type="dxa"/>
            <w:tcBorders>
              <w:top w:val="single" w:color="auto" w:sz="4" w:space="0"/>
              <w:left w:val="nil"/>
              <w:bottom w:val="single" w:color="auto" w:sz="4" w:space="0"/>
              <w:right w:val="single" w:color="auto" w:sz="4" w:space="0"/>
            </w:tcBorders>
            <w:vAlign w:val="center"/>
          </w:tcPr>
          <w:p w14:paraId="6D927577">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4B34BF95">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对出借、出租人力资源服务许可证的处罚</w:t>
            </w:r>
          </w:p>
        </w:tc>
        <w:tc>
          <w:tcPr>
            <w:tcW w:w="685" w:type="dxa"/>
            <w:tcBorders>
              <w:top w:val="single" w:color="auto" w:sz="4" w:space="0"/>
              <w:left w:val="nil"/>
              <w:bottom w:val="single" w:color="auto" w:sz="4" w:space="0"/>
              <w:right w:val="single" w:color="auto" w:sz="4" w:space="0"/>
            </w:tcBorders>
            <w:vAlign w:val="center"/>
          </w:tcPr>
          <w:p w14:paraId="074D26BD">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E64D870">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382388E">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劳动保障监察</w:t>
            </w:r>
            <w:r>
              <w:rPr>
                <w:rFonts w:hint="eastAsia" w:eastAsia="仿宋_GB2312" w:cs="仿宋_GB2312"/>
                <w:snapToGrid w:val="0"/>
                <w:sz w:val="20"/>
                <w:szCs w:val="20"/>
                <w:highlight w:val="none"/>
                <w:lang w:eastAsia="zh-CN"/>
              </w:rPr>
              <w:t>大队</w:t>
            </w:r>
          </w:p>
        </w:tc>
        <w:tc>
          <w:tcPr>
            <w:tcW w:w="1317" w:type="dxa"/>
            <w:tcBorders>
              <w:top w:val="single" w:color="auto" w:sz="4" w:space="0"/>
              <w:left w:val="nil"/>
              <w:bottom w:val="single" w:color="auto" w:sz="4" w:space="0"/>
              <w:right w:val="single" w:color="auto" w:sz="4" w:space="0"/>
            </w:tcBorders>
            <w:vAlign w:val="center"/>
          </w:tcPr>
          <w:p w14:paraId="0D8F1B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地方性法规】《广西壮族自治区人力资源市场条例》（2022年3月24日广西第十三届人大常委会第二十八次会议通过）第五十二条：违反本条例第三十五条第三项规定，出借、出租人力资源服务许可证的，由登记地的设区的市或者县级人民政府人力资源社会保障行政部门责令改正；有违法所得的，除依法应当退赔的外，没收违法所得，并处一万元以上五万元以下的罚款；情节严重的，吊销人力资源服务许可证；</w:t>
            </w:r>
          </w:p>
          <w:p w14:paraId="4F435F9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第三十五条第三项：人力资源服务机构不得有下列行为：……（三）伪造、涂改、出借、出租、转让人力资源服务许可证……。</w:t>
            </w:r>
          </w:p>
        </w:tc>
        <w:tc>
          <w:tcPr>
            <w:tcW w:w="2698" w:type="dxa"/>
            <w:tcBorders>
              <w:top w:val="single" w:color="auto" w:sz="4" w:space="0"/>
              <w:left w:val="nil"/>
              <w:bottom w:val="single" w:color="auto" w:sz="4" w:space="0"/>
              <w:right w:val="single" w:color="auto" w:sz="4" w:space="0"/>
            </w:tcBorders>
            <w:vAlign w:val="center"/>
          </w:tcPr>
          <w:p w14:paraId="7BC7CD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3714079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3F51F8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5E8203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6284300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2824F3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4822B8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610C60D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BE1BE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2B8073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6FF072D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6339C0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29DF64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723D6C7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3D92CA7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4682CB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6C6C8BD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04E105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2F5AD86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122D30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743BC60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6681FA4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1CB1BCE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3F776C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5C6BDAE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56BD19F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461166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25C25C1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52411BF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2D50DA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128B04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57CAFB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0C2A69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37F383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1AF50F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38498E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1EE616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B59383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4120DE2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2A1402F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743EAC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6CAB413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0FFD0EF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0BFA8B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52B7C4B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70E4D3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3523CB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10E139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5812457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295FA0C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3C5A161B">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292A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0117B39">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47</w:t>
            </w:r>
          </w:p>
        </w:tc>
        <w:tc>
          <w:tcPr>
            <w:tcW w:w="1060" w:type="dxa"/>
            <w:tcBorders>
              <w:top w:val="single" w:color="auto" w:sz="4" w:space="0"/>
              <w:left w:val="nil"/>
              <w:bottom w:val="single" w:color="auto" w:sz="4" w:space="0"/>
              <w:right w:val="single" w:color="auto" w:sz="4" w:space="0"/>
            </w:tcBorders>
            <w:vAlign w:val="center"/>
          </w:tcPr>
          <w:p w14:paraId="1302029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行政处罚</w:t>
            </w:r>
          </w:p>
        </w:tc>
        <w:tc>
          <w:tcPr>
            <w:tcW w:w="572" w:type="dxa"/>
            <w:tcBorders>
              <w:top w:val="single" w:color="auto" w:sz="4" w:space="0"/>
              <w:left w:val="nil"/>
              <w:bottom w:val="single" w:color="auto" w:sz="4" w:space="0"/>
              <w:right w:val="single" w:color="auto" w:sz="4" w:space="0"/>
            </w:tcBorders>
            <w:vAlign w:val="center"/>
          </w:tcPr>
          <w:p w14:paraId="7145BC3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对娱乐场所招用未成年人的处罚</w:t>
            </w:r>
          </w:p>
        </w:tc>
        <w:tc>
          <w:tcPr>
            <w:tcW w:w="685" w:type="dxa"/>
            <w:tcBorders>
              <w:top w:val="single" w:color="auto" w:sz="4" w:space="0"/>
              <w:left w:val="nil"/>
              <w:bottom w:val="single" w:color="auto" w:sz="4" w:space="0"/>
              <w:right w:val="single" w:color="auto" w:sz="4" w:space="0"/>
            </w:tcBorders>
            <w:vAlign w:val="center"/>
          </w:tcPr>
          <w:p w14:paraId="774D9D1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CF31723">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22E119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64E381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【行政法规】《娱乐场所管理条例》（2016年1月13日国务院令第458号）第五十二条：娱乐场所招用未成年人的，由劳动保障行政部门责令改正，并按照每招用一名未成年人每月处5000元罚款的标准给予处罚。</w:t>
            </w:r>
          </w:p>
        </w:tc>
        <w:tc>
          <w:tcPr>
            <w:tcW w:w="2698" w:type="dxa"/>
            <w:tcBorders>
              <w:top w:val="single" w:color="auto" w:sz="4" w:space="0"/>
              <w:left w:val="nil"/>
              <w:bottom w:val="single" w:color="auto" w:sz="4" w:space="0"/>
              <w:right w:val="single" w:color="auto" w:sz="4" w:space="0"/>
            </w:tcBorders>
            <w:vAlign w:val="center"/>
          </w:tcPr>
          <w:p w14:paraId="77D0CC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6518E6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57ABE6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095E5CB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08CEE8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62C8D8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3FA6AC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3DDD34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410B1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30D7DF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6E8EA38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1B2299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3BD4B7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512EBCC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722FAE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08F8BE0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70E5DF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152B87C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384095E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2DED59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5C5CB80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0A234AC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439D2AE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2243DB3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155486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6DD468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3CD3B5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1304CC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3AA591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8E6DF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5EDE7FA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2AB55C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3A3EE8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2941A76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77B5E9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1B68E1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48DE59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0BFF205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1711584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41DEC32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7337B92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676FEF8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12421A4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11F571E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5299279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2A7D4B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55C302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5874762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4FDADF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3DF0004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9A083C3">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2AF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BEA709A">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48</w:t>
            </w:r>
            <w:commentRangeStart w:id="0"/>
          </w:p>
        </w:tc>
        <w:tc>
          <w:tcPr>
            <w:tcW w:w="1060" w:type="dxa"/>
            <w:tcBorders>
              <w:top w:val="single" w:color="auto" w:sz="4" w:space="0"/>
              <w:left w:val="nil"/>
              <w:bottom w:val="single" w:color="auto" w:sz="4" w:space="0"/>
              <w:right w:val="single" w:color="auto" w:sz="4" w:space="0"/>
            </w:tcBorders>
            <w:vAlign w:val="center"/>
          </w:tcPr>
          <w:p w14:paraId="3BAAA7F5">
            <w:pPr>
              <w:widowControl/>
              <w:adjustRightInd w:val="0"/>
              <w:snapToGrid w:val="0"/>
              <w:spacing w:line="300" w:lineRule="exact"/>
              <w:jc w:val="both"/>
              <w:rPr>
                <w:rFonts w:hint="eastAsia"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行政处罚</w:t>
            </w:r>
          </w:p>
        </w:tc>
        <w:tc>
          <w:tcPr>
            <w:tcW w:w="572" w:type="dxa"/>
            <w:tcBorders>
              <w:top w:val="single" w:color="auto" w:sz="4" w:space="0"/>
              <w:left w:val="nil"/>
              <w:bottom w:val="single" w:color="auto" w:sz="4" w:space="0"/>
              <w:right w:val="single" w:color="auto" w:sz="4" w:space="0"/>
            </w:tcBorders>
            <w:vAlign w:val="center"/>
          </w:tcPr>
          <w:p w14:paraId="071ADBFB">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对营业性娱乐场所、酒吧、互联网上网服务营业场所等不适宜未成年人活动的场所招用已满十六周岁的未成年人的处罚</w:t>
            </w:r>
          </w:p>
        </w:tc>
        <w:tc>
          <w:tcPr>
            <w:tcW w:w="685" w:type="dxa"/>
            <w:tcBorders>
              <w:top w:val="single" w:color="auto" w:sz="4" w:space="0"/>
              <w:left w:val="nil"/>
              <w:bottom w:val="single" w:color="auto" w:sz="4" w:space="0"/>
              <w:right w:val="single" w:color="auto" w:sz="4" w:space="0"/>
            </w:tcBorders>
            <w:vAlign w:val="center"/>
          </w:tcPr>
          <w:p w14:paraId="156AA39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1DB14B4">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3B2B99A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348FFFA">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rPr>
              <w:t>【法律】《中华人民共和国</w:t>
            </w:r>
            <w:r>
              <w:rPr>
                <w:rFonts w:hint="eastAsia" w:eastAsia="仿宋_GB2312" w:cs="仿宋_GB2312"/>
                <w:snapToGrid w:val="0"/>
                <w:sz w:val="20"/>
                <w:szCs w:val="20"/>
                <w:highlight w:val="none"/>
                <w:lang w:eastAsia="zh-CN"/>
              </w:rPr>
              <w:t>未成年人保护</w:t>
            </w:r>
            <w:r>
              <w:rPr>
                <w:rFonts w:hint="eastAsia" w:eastAsia="仿宋_GB2312" w:cs="仿宋_GB2312"/>
                <w:snapToGrid w:val="0"/>
                <w:sz w:val="20"/>
                <w:szCs w:val="20"/>
                <w:highlight w:val="none"/>
              </w:rPr>
              <w:t>法》（</w:t>
            </w:r>
            <w:r>
              <w:rPr>
                <w:rFonts w:hint="eastAsia" w:eastAsia="仿宋_GB2312" w:cs="仿宋_GB2312"/>
                <w:snapToGrid w:val="0"/>
                <w:sz w:val="20"/>
                <w:szCs w:val="20"/>
                <w:highlight w:val="none"/>
                <w:lang w:val="en-US" w:eastAsia="zh-CN"/>
              </w:rPr>
              <w:t>1991</w:t>
            </w:r>
            <w:r>
              <w:rPr>
                <w:rFonts w:hint="eastAsia" w:eastAsia="仿宋_GB2312" w:cs="仿宋_GB2312"/>
                <w:snapToGrid w:val="0"/>
                <w:sz w:val="20"/>
                <w:szCs w:val="20"/>
                <w:highlight w:val="none"/>
              </w:rPr>
              <w:t>年</w:t>
            </w:r>
            <w:r>
              <w:rPr>
                <w:rFonts w:hint="eastAsia" w:eastAsia="仿宋_GB2312" w:cs="仿宋_GB2312"/>
                <w:snapToGrid w:val="0"/>
                <w:sz w:val="20"/>
                <w:szCs w:val="20"/>
                <w:highlight w:val="none"/>
                <w:lang w:val="en-US" w:eastAsia="zh-CN"/>
              </w:rPr>
              <w:t>9</w:t>
            </w:r>
            <w:r>
              <w:rPr>
                <w:rFonts w:hint="eastAsia" w:eastAsia="仿宋_GB2312" w:cs="仿宋_GB2312"/>
                <w:snapToGrid w:val="0"/>
                <w:sz w:val="20"/>
                <w:szCs w:val="20"/>
                <w:highlight w:val="none"/>
              </w:rPr>
              <w:t>月</w:t>
            </w:r>
            <w:r>
              <w:rPr>
                <w:rFonts w:hint="eastAsia" w:eastAsia="仿宋_GB2312" w:cs="仿宋_GB2312"/>
                <w:snapToGrid w:val="0"/>
                <w:sz w:val="20"/>
                <w:szCs w:val="20"/>
                <w:highlight w:val="none"/>
                <w:lang w:val="en-US" w:eastAsia="zh-CN"/>
              </w:rPr>
              <w:t>4</w:t>
            </w:r>
            <w:r>
              <w:rPr>
                <w:rFonts w:hint="eastAsia" w:eastAsia="仿宋_GB2312" w:cs="仿宋_GB2312"/>
                <w:snapToGrid w:val="0"/>
                <w:sz w:val="20"/>
                <w:szCs w:val="20"/>
                <w:highlight w:val="none"/>
              </w:rPr>
              <w:t>日通过，20</w:t>
            </w:r>
            <w:r>
              <w:rPr>
                <w:rFonts w:hint="eastAsia" w:eastAsia="仿宋_GB2312" w:cs="仿宋_GB2312"/>
                <w:snapToGrid w:val="0"/>
                <w:sz w:val="20"/>
                <w:szCs w:val="20"/>
                <w:highlight w:val="none"/>
                <w:lang w:val="en-US" w:eastAsia="zh-CN"/>
              </w:rPr>
              <w:t>20</w:t>
            </w:r>
            <w:r>
              <w:rPr>
                <w:rFonts w:hint="eastAsia" w:eastAsia="仿宋_GB2312" w:cs="仿宋_GB2312"/>
                <w:snapToGrid w:val="0"/>
                <w:sz w:val="20"/>
                <w:szCs w:val="20"/>
                <w:highlight w:val="none"/>
              </w:rPr>
              <w:t>年1</w:t>
            </w:r>
            <w:r>
              <w:rPr>
                <w:rFonts w:hint="eastAsia" w:eastAsia="仿宋_GB2312" w:cs="仿宋_GB2312"/>
                <w:snapToGrid w:val="0"/>
                <w:sz w:val="20"/>
                <w:szCs w:val="20"/>
                <w:highlight w:val="none"/>
                <w:lang w:val="en-US" w:eastAsia="zh-CN"/>
              </w:rPr>
              <w:t>0</w:t>
            </w:r>
            <w:r>
              <w:rPr>
                <w:rFonts w:hint="eastAsia" w:eastAsia="仿宋_GB2312" w:cs="仿宋_GB2312"/>
                <w:snapToGrid w:val="0"/>
                <w:sz w:val="20"/>
                <w:szCs w:val="20"/>
                <w:highlight w:val="none"/>
              </w:rPr>
              <w:t>月</w:t>
            </w:r>
            <w:r>
              <w:rPr>
                <w:rFonts w:hint="eastAsia" w:eastAsia="仿宋_GB2312" w:cs="仿宋_GB2312"/>
                <w:snapToGrid w:val="0"/>
                <w:sz w:val="20"/>
                <w:szCs w:val="20"/>
                <w:highlight w:val="none"/>
                <w:lang w:val="en-US" w:eastAsia="zh-CN"/>
              </w:rPr>
              <w:t>17</w:t>
            </w:r>
            <w:r>
              <w:rPr>
                <w:rFonts w:hint="eastAsia" w:eastAsia="仿宋_GB2312" w:cs="仿宋_GB2312"/>
                <w:snapToGrid w:val="0"/>
                <w:sz w:val="20"/>
                <w:szCs w:val="20"/>
                <w:highlight w:val="none"/>
              </w:rPr>
              <w:t>日</w:t>
            </w:r>
            <w:r>
              <w:rPr>
                <w:rFonts w:hint="eastAsia" w:eastAsia="仿宋_GB2312" w:cs="仿宋_GB2312"/>
                <w:snapToGrid w:val="0"/>
                <w:sz w:val="20"/>
                <w:szCs w:val="20"/>
                <w:highlight w:val="none"/>
                <w:lang w:eastAsia="zh-CN"/>
              </w:rPr>
              <w:t>第二次</w:t>
            </w:r>
            <w:r>
              <w:rPr>
                <w:rFonts w:hint="eastAsia" w:eastAsia="仿宋_GB2312" w:cs="仿宋_GB2312"/>
                <w:snapToGrid w:val="0"/>
                <w:sz w:val="20"/>
                <w:szCs w:val="20"/>
                <w:highlight w:val="none"/>
              </w:rPr>
              <w:t>修</w:t>
            </w:r>
            <w:r>
              <w:rPr>
                <w:rFonts w:hint="eastAsia" w:eastAsia="仿宋_GB2312" w:cs="仿宋_GB2312"/>
                <w:snapToGrid w:val="0"/>
                <w:sz w:val="20"/>
                <w:szCs w:val="20"/>
                <w:highlight w:val="none"/>
                <w:lang w:eastAsia="zh-CN"/>
              </w:rPr>
              <w:t>订</w:t>
            </w:r>
            <w:r>
              <w:rPr>
                <w:rFonts w:hint="eastAsia" w:eastAsia="仿宋_GB2312" w:cs="仿宋_GB2312"/>
                <w:snapToGrid w:val="0"/>
                <w:sz w:val="20"/>
                <w:szCs w:val="20"/>
                <w:highlight w:val="none"/>
              </w:rPr>
              <w:t>）</w:t>
            </w:r>
            <w:r>
              <w:rPr>
                <w:rFonts w:hint="eastAsia" w:eastAsia="仿宋_GB2312" w:cs="仿宋_GB2312"/>
                <w:snapToGrid w:val="0"/>
                <w:sz w:val="20"/>
                <w:szCs w:val="20"/>
                <w:highlight w:val="none"/>
                <w:lang w:eastAsia="zh-CN"/>
              </w:rPr>
              <w:t>第一百二十五条：违反本法第六十一条规定的，由文化和旅游、人力资源和社会保障、市场监督管理等部门按照职责分工责令限期改正，给予警告，没收违法所得，可以并处十万元以下罚款；拒不改正情节严重的，责令停产停业或者吊销营业执照、吊销相关许可证，并可处十万元以上一百万元以下罚款。</w:t>
            </w:r>
          </w:p>
        </w:tc>
        <w:tc>
          <w:tcPr>
            <w:tcW w:w="2698" w:type="dxa"/>
            <w:tcBorders>
              <w:top w:val="single" w:color="auto" w:sz="4" w:space="0"/>
              <w:left w:val="nil"/>
              <w:bottom w:val="single" w:color="auto" w:sz="4" w:space="0"/>
              <w:right w:val="single" w:color="auto" w:sz="4" w:space="0"/>
            </w:tcBorders>
            <w:vAlign w:val="center"/>
          </w:tcPr>
          <w:p w14:paraId="6287119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6DD673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6809FCC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3BF240E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3142626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5D4D1C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300251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5E0515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50FEEBC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0A17DFC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02CC008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730126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47E4C0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67629FA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60DA091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78F55CC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56B427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506C18E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602C85B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1D9BF8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6F37211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7853208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5017A01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4BF6683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4482B76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84D5C7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206C63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0E2465D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201ADA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50F9EB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2F689A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550D5C3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753487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466A92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1D881A5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57D9DE0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3F43AA4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7B19AF6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343C07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0414E4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1454B35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75BBAB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75DBD93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E8A04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34D4B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35EBB8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29EBBA7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3AECAC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773C5E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61C597E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747EC7A1">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commentRangeEnd w:id="0"/>
            <w:r>
              <w:rPr>
                <w:highlight w:val="none"/>
              </w:rPr>
              <w:commentReference w:id="0"/>
            </w:r>
          </w:p>
        </w:tc>
      </w:tr>
      <w:tr w14:paraId="7304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294C6DB9">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49</w:t>
            </w:r>
            <w:commentRangeStart w:id="1"/>
          </w:p>
        </w:tc>
        <w:tc>
          <w:tcPr>
            <w:tcW w:w="1060" w:type="dxa"/>
            <w:tcBorders>
              <w:top w:val="single" w:color="auto" w:sz="4" w:space="0"/>
              <w:left w:val="nil"/>
              <w:bottom w:val="single" w:color="auto" w:sz="4" w:space="0"/>
              <w:right w:val="single" w:color="auto" w:sz="4" w:space="0"/>
            </w:tcBorders>
            <w:vAlign w:val="center"/>
          </w:tcPr>
          <w:p w14:paraId="305AF2C5">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lang w:val="en-US" w:eastAsia="zh-CN"/>
              </w:rPr>
              <w:t>行政处罚</w:t>
            </w:r>
          </w:p>
        </w:tc>
        <w:tc>
          <w:tcPr>
            <w:tcW w:w="572" w:type="dxa"/>
            <w:tcBorders>
              <w:top w:val="single" w:color="auto" w:sz="4" w:space="0"/>
              <w:left w:val="nil"/>
              <w:bottom w:val="single" w:color="auto" w:sz="4" w:space="0"/>
              <w:right w:val="single" w:color="auto" w:sz="4" w:space="0"/>
            </w:tcBorders>
            <w:vAlign w:val="center"/>
          </w:tcPr>
          <w:p w14:paraId="4344DEDE">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对密切接触未成年人的单位未履行查询义务，或者招用、继续聘用具有相关违法犯罪记录人员的处罚</w:t>
            </w:r>
          </w:p>
        </w:tc>
        <w:tc>
          <w:tcPr>
            <w:tcW w:w="685" w:type="dxa"/>
            <w:tcBorders>
              <w:top w:val="single" w:color="auto" w:sz="4" w:space="0"/>
              <w:left w:val="nil"/>
              <w:bottom w:val="single" w:color="auto" w:sz="4" w:space="0"/>
              <w:right w:val="single" w:color="auto" w:sz="4" w:space="0"/>
            </w:tcBorders>
            <w:vAlign w:val="center"/>
          </w:tcPr>
          <w:p w14:paraId="6D3ABFB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00DCC1E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F52DF63">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9D38D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w:t>
            </w:r>
            <w:r>
              <w:rPr>
                <w:rFonts w:hint="eastAsia" w:eastAsia="仿宋_GB2312" w:cs="仿宋_GB2312"/>
                <w:snapToGrid w:val="0"/>
                <w:sz w:val="20"/>
                <w:szCs w:val="20"/>
                <w:highlight w:val="none"/>
                <w:lang w:eastAsia="zh-CN"/>
              </w:rPr>
              <w:t>未成年人保护</w:t>
            </w:r>
            <w:r>
              <w:rPr>
                <w:rFonts w:hint="eastAsia" w:eastAsia="仿宋_GB2312" w:cs="仿宋_GB2312"/>
                <w:snapToGrid w:val="0"/>
                <w:sz w:val="20"/>
                <w:szCs w:val="20"/>
                <w:highlight w:val="none"/>
              </w:rPr>
              <w:t>法》（</w:t>
            </w:r>
            <w:r>
              <w:rPr>
                <w:rFonts w:hint="eastAsia" w:eastAsia="仿宋_GB2312" w:cs="仿宋_GB2312"/>
                <w:snapToGrid w:val="0"/>
                <w:sz w:val="20"/>
                <w:szCs w:val="20"/>
                <w:highlight w:val="none"/>
                <w:lang w:val="en-US" w:eastAsia="zh-CN"/>
              </w:rPr>
              <w:t>1991</w:t>
            </w:r>
            <w:r>
              <w:rPr>
                <w:rFonts w:hint="eastAsia" w:eastAsia="仿宋_GB2312" w:cs="仿宋_GB2312"/>
                <w:snapToGrid w:val="0"/>
                <w:sz w:val="20"/>
                <w:szCs w:val="20"/>
                <w:highlight w:val="none"/>
              </w:rPr>
              <w:t>年</w:t>
            </w:r>
            <w:r>
              <w:rPr>
                <w:rFonts w:hint="eastAsia" w:eastAsia="仿宋_GB2312" w:cs="仿宋_GB2312"/>
                <w:snapToGrid w:val="0"/>
                <w:sz w:val="20"/>
                <w:szCs w:val="20"/>
                <w:highlight w:val="none"/>
                <w:lang w:val="en-US" w:eastAsia="zh-CN"/>
              </w:rPr>
              <w:t>9</w:t>
            </w:r>
            <w:r>
              <w:rPr>
                <w:rFonts w:hint="eastAsia" w:eastAsia="仿宋_GB2312" w:cs="仿宋_GB2312"/>
                <w:snapToGrid w:val="0"/>
                <w:sz w:val="20"/>
                <w:szCs w:val="20"/>
                <w:highlight w:val="none"/>
              </w:rPr>
              <w:t>月</w:t>
            </w:r>
            <w:r>
              <w:rPr>
                <w:rFonts w:hint="eastAsia" w:eastAsia="仿宋_GB2312" w:cs="仿宋_GB2312"/>
                <w:snapToGrid w:val="0"/>
                <w:sz w:val="20"/>
                <w:szCs w:val="20"/>
                <w:highlight w:val="none"/>
                <w:lang w:val="en-US" w:eastAsia="zh-CN"/>
              </w:rPr>
              <w:t>4</w:t>
            </w:r>
            <w:r>
              <w:rPr>
                <w:rFonts w:hint="eastAsia" w:eastAsia="仿宋_GB2312" w:cs="仿宋_GB2312"/>
                <w:snapToGrid w:val="0"/>
                <w:sz w:val="20"/>
                <w:szCs w:val="20"/>
                <w:highlight w:val="none"/>
              </w:rPr>
              <w:t>日通过，20</w:t>
            </w:r>
            <w:r>
              <w:rPr>
                <w:rFonts w:hint="eastAsia" w:eastAsia="仿宋_GB2312" w:cs="仿宋_GB2312"/>
                <w:snapToGrid w:val="0"/>
                <w:sz w:val="20"/>
                <w:szCs w:val="20"/>
                <w:highlight w:val="none"/>
                <w:lang w:val="en-US" w:eastAsia="zh-CN"/>
              </w:rPr>
              <w:t>20</w:t>
            </w:r>
            <w:r>
              <w:rPr>
                <w:rFonts w:hint="eastAsia" w:eastAsia="仿宋_GB2312" w:cs="仿宋_GB2312"/>
                <w:snapToGrid w:val="0"/>
                <w:sz w:val="20"/>
                <w:szCs w:val="20"/>
                <w:highlight w:val="none"/>
              </w:rPr>
              <w:t>年1</w:t>
            </w:r>
            <w:r>
              <w:rPr>
                <w:rFonts w:hint="eastAsia" w:eastAsia="仿宋_GB2312" w:cs="仿宋_GB2312"/>
                <w:snapToGrid w:val="0"/>
                <w:sz w:val="20"/>
                <w:szCs w:val="20"/>
                <w:highlight w:val="none"/>
                <w:lang w:val="en-US" w:eastAsia="zh-CN"/>
              </w:rPr>
              <w:t>0</w:t>
            </w:r>
            <w:r>
              <w:rPr>
                <w:rFonts w:hint="eastAsia" w:eastAsia="仿宋_GB2312" w:cs="仿宋_GB2312"/>
                <w:snapToGrid w:val="0"/>
                <w:sz w:val="20"/>
                <w:szCs w:val="20"/>
                <w:highlight w:val="none"/>
              </w:rPr>
              <w:t>月</w:t>
            </w:r>
            <w:r>
              <w:rPr>
                <w:rFonts w:hint="eastAsia" w:eastAsia="仿宋_GB2312" w:cs="仿宋_GB2312"/>
                <w:snapToGrid w:val="0"/>
                <w:sz w:val="20"/>
                <w:szCs w:val="20"/>
                <w:highlight w:val="none"/>
                <w:lang w:val="en-US" w:eastAsia="zh-CN"/>
              </w:rPr>
              <w:t>17</w:t>
            </w:r>
            <w:r>
              <w:rPr>
                <w:rFonts w:hint="eastAsia" w:eastAsia="仿宋_GB2312" w:cs="仿宋_GB2312"/>
                <w:snapToGrid w:val="0"/>
                <w:sz w:val="20"/>
                <w:szCs w:val="20"/>
                <w:highlight w:val="none"/>
              </w:rPr>
              <w:t>日</w:t>
            </w:r>
            <w:r>
              <w:rPr>
                <w:rFonts w:hint="eastAsia" w:eastAsia="仿宋_GB2312" w:cs="仿宋_GB2312"/>
                <w:snapToGrid w:val="0"/>
                <w:sz w:val="20"/>
                <w:szCs w:val="20"/>
                <w:highlight w:val="none"/>
                <w:lang w:eastAsia="zh-CN"/>
              </w:rPr>
              <w:t>第二次</w:t>
            </w:r>
            <w:r>
              <w:rPr>
                <w:rFonts w:hint="eastAsia" w:eastAsia="仿宋_GB2312" w:cs="仿宋_GB2312"/>
                <w:snapToGrid w:val="0"/>
                <w:sz w:val="20"/>
                <w:szCs w:val="20"/>
                <w:highlight w:val="none"/>
              </w:rPr>
              <w:t>修</w:t>
            </w:r>
            <w:r>
              <w:rPr>
                <w:rFonts w:hint="eastAsia" w:eastAsia="仿宋_GB2312" w:cs="仿宋_GB2312"/>
                <w:snapToGrid w:val="0"/>
                <w:sz w:val="20"/>
                <w:szCs w:val="20"/>
                <w:highlight w:val="none"/>
                <w:lang w:eastAsia="zh-CN"/>
              </w:rPr>
              <w:t>订</w:t>
            </w:r>
            <w:r>
              <w:rPr>
                <w:rFonts w:hint="eastAsia" w:eastAsia="仿宋_GB2312" w:cs="仿宋_GB2312"/>
                <w:snapToGrid w:val="0"/>
                <w:sz w:val="20"/>
                <w:szCs w:val="20"/>
                <w:highlight w:val="none"/>
              </w:rPr>
              <w:t>）</w:t>
            </w:r>
            <w:r>
              <w:rPr>
                <w:rFonts w:hint="eastAsia" w:eastAsia="仿宋_GB2312" w:cs="仿宋_GB2312"/>
                <w:snapToGrid w:val="0"/>
                <w:sz w:val="20"/>
                <w:szCs w:val="20"/>
                <w:highlight w:val="none"/>
                <w:lang w:eastAsia="zh-CN"/>
              </w:rPr>
              <w:t>第一百二十六条：密切接触未成年人的单位违反本法第六十二条规定，未履行查询义务，或者招用、继续聘用具有相关违法犯罪记录人员的，由教育、人力资源和社会保障、市场监督管理等部门按照职责分工责令限期改正，给予警告，并处五万元以下罚款；拒不改正或者造成严重后果的，责令停业整顿或者吊销营业执照、吊销相关许可证，并处五万元以上五十万元以下罚款，对直接负责的主管人员和其他直接责任人员依法给予处分。</w:t>
            </w:r>
          </w:p>
        </w:tc>
        <w:tc>
          <w:tcPr>
            <w:tcW w:w="2698" w:type="dxa"/>
            <w:tcBorders>
              <w:top w:val="single" w:color="auto" w:sz="4" w:space="0"/>
              <w:left w:val="nil"/>
              <w:bottom w:val="single" w:color="auto" w:sz="4" w:space="0"/>
              <w:right w:val="single" w:color="auto" w:sz="4" w:space="0"/>
            </w:tcBorders>
            <w:vAlign w:val="center"/>
          </w:tcPr>
          <w:p w14:paraId="6A88262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1.立案责任：一次性告知补正材料；接到投诉之日起5个工作日内依法决定是否受理，并于受理之日立案查处，不予受理应当告知理由。</w:t>
            </w:r>
          </w:p>
          <w:p w14:paraId="798415E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2.调查责任：案件调查自立案之日起60个工作日内完成；情况复杂的，经本级劳动保障行政部门负责人批准，可延长30个工作日。</w:t>
            </w:r>
          </w:p>
          <w:p w14:paraId="2AE3ACC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3.告知责任：作出行政处罚或者行政处理决定前，应当听取用人单位的陈述、申辩，应当告知用人单位依法享有申请行政复议或者提起行政诉讼的权利。</w:t>
            </w:r>
          </w:p>
          <w:p w14:paraId="491A24A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4.决定责任：立案调查完成，应在15个工作日内作出责令改正、行政处罚（行政处理）或者撤销立案决定；特殊情况，经本级劳动保障行政部门负责人批准可以延长。</w:t>
            </w:r>
          </w:p>
          <w:p w14:paraId="2DC6D4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送达责任：《劳动保障监察限期整改指令书》、《劳动保障行政处理决定书》、《劳动保障行政处罚决定书》应当在宣告后当场交付当事人；当事人拒不签收或不在场的，应在7日内以留置、张贴、公告、邮递等多种方式送达当事人。</w:t>
            </w:r>
          </w:p>
          <w:p w14:paraId="48E5E2E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6.执行责任：当事人对行政处理决定逾期不履行的，劳动保障行政部门可申请人民法院强制执行。</w:t>
            </w:r>
          </w:p>
          <w:p w14:paraId="78C4A4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7.监督责任：案件结案后应建立档案，档案资料应当至少保存三年。在法律法规允许的范围内公示执法结果。</w:t>
            </w:r>
          </w:p>
          <w:p w14:paraId="1C8320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D493C2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关于实施〈劳动保障监察条例〉若干规定》（2004年劳动保障部令第25号公布）第十八条：对符合下列条件的投诉，劳动保障行政部门应当在接到投诉之日起5个工作日内依法受理，并于受理之日立案查处：（一） 违反劳动保障法律的行为发生在2年内的；（二） 有明确的被投诉用人单位，且投诉人的合法权益受到侵害是被投诉用人单位违反劳动保障法律的行为所造成的；（三） 属于劳动保障监察职权范围并由受理投诉的劳动保障行政部门管辖。对不符合第一款第（一）项规定的投诉，劳动保障行政部门应当在接到投诉之日起5个工作日内决定不予受理，并书面通知投诉人。对不符合第一款第（二）项规定的投诉，劳动保障监察机构应当告知投诉人补正投诉材料。对不符合第一款第（三）项规定的投诉，即对不属于劳动保障监察职权范围的投诉，劳动保障监察机构应当告诉投诉人；对属于劳动保障监察职权范围但不属于受理投诉的劳动保障行政部门管辖的投诉，应当告知投诉人向有关劳动保障行政部门提出。</w:t>
            </w:r>
          </w:p>
          <w:p w14:paraId="420D3F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公布）第十七条：劳动保障行政部门对违反劳动保障法律、法规或者规章的行为的调查，应当自立案之日起60个工作日内完成；对情况复杂的，经劳动保障行政部门负责人批准，可以延长30个工作日。</w:t>
            </w:r>
          </w:p>
          <w:p w14:paraId="03EDCB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劳动保障监察条例》（2004年国务院令第423号公布）第十九条：劳动保障行政部门对违反劳动保障法律、法规或者规章的行为作出行政处罚或者行政处理决定前，应当听取用人单位的陈述、申辩；作出行政处罚或者行政处理决定，应当告知用人单位依法享有申请行政复议或者提起行政诉讼的权利。</w:t>
            </w:r>
          </w:p>
          <w:p w14:paraId="52D8CE1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关于实施〈劳动保障监察条例〉若干规定》（2004年劳动保障部令第25号公布）第三十七条：劳动保障行政部门立案调查完成，应在15个工作日内作出行政处罚（行政处理或者责令改正）或者撤销立案决定；特殊情况，经劳动保障行政部门负责人批准可以延长。</w:t>
            </w:r>
          </w:p>
          <w:p w14:paraId="6B0F5AF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关于实施〈劳动保障监察条例〉若干规定》（2004年劳动保障部令第25号公布）第三十八条：劳动保障监察限期整改指令书、劳动保障行政处理决定书、劳动保障行政处罚决定书应当在宣告后当场交付当事人；当事人不在场的，劳动保障行政部门应当在7日内依照《中华人民共和国民事诉讼法》的有关规定，将劳动保障监察限期整改指令书、劳动保障行政处理决定书、劳动保障行政处罚决定书送达当事人。</w:t>
            </w:r>
          </w:p>
          <w:p w14:paraId="403AA6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关于实施〈劳动保障监察条例〉若干规定》（2004年劳动保障部令第25号公布）第四十四条：当事人对劳动保障行政部门作出的行政处罚决定、责令支付劳动者工资报酬、赔偿金或者征缴社会保险费等行政处理决定逾期不履行的，劳动保障行政部门可以申请人民法院强制执行，或者依法强制执行。</w:t>
            </w:r>
          </w:p>
          <w:p w14:paraId="3AF612C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7.【部门规章】《关于实施〈劳动保障监察条例〉若干规定》（2004年劳动保障部令第25号公布）第四十条：劳动保障监察案件结案后应建立档案。档案资料应当至少保存三年。</w:t>
            </w:r>
          </w:p>
        </w:tc>
        <w:tc>
          <w:tcPr>
            <w:tcW w:w="1942" w:type="dxa"/>
            <w:tcBorders>
              <w:top w:val="single" w:color="auto" w:sz="4" w:space="0"/>
              <w:left w:val="nil"/>
              <w:bottom w:val="single" w:color="auto" w:sz="4" w:space="0"/>
              <w:right w:val="single" w:color="auto" w:sz="4" w:space="0"/>
            </w:tcBorders>
            <w:vAlign w:val="center"/>
          </w:tcPr>
          <w:p w14:paraId="4AB1273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因不履行或不正确履行行政职责，有下列情形的，主管机关及相关工作人员应承担相应责任：</w:t>
            </w:r>
          </w:p>
          <w:p w14:paraId="3907513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1.对应当予以制止和处罚的违法行为不予制止、处罚，致使公民、法人或者其他组织的合法权益、公共利益和社会秩序遭受损害的（机关纪委）；</w:t>
            </w:r>
          </w:p>
          <w:p w14:paraId="34A1DD4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2.没有法律或者事实依据实施行政处罚的（机关纪委）；</w:t>
            </w:r>
          </w:p>
          <w:p w14:paraId="183F1C4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3.未按法定程序实施行政处罚的（机关纪委）；</w:t>
            </w:r>
          </w:p>
          <w:p w14:paraId="3A534DA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4.违反规定应当回避而不回避，影响公正执行公务，造成不良后果的（机关纪委）；</w:t>
            </w:r>
          </w:p>
          <w:p w14:paraId="6230D1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5.擅自设立处罚种类或者改变处罚幅度、范围的（机关纪委）；</w:t>
            </w:r>
          </w:p>
          <w:p w14:paraId="158D55F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6.依法应当移送其他行政部门或司法机关处理而不移送的（机关纪委）；</w:t>
            </w:r>
          </w:p>
          <w:p w14:paraId="647101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7.对当事人进行罚款、没收财物等行政处罚不使用法定单据的或不按规定上缴、处理罚款或没收财物的（机关纪委）；</w:t>
            </w:r>
          </w:p>
          <w:p w14:paraId="1432F90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8.在监督管理工作中滥用职权、玩忽职守、徇私舞弊的（机关纪委）；</w:t>
            </w:r>
          </w:p>
          <w:p w14:paraId="6973999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9.除以上追责情形外，其他违反法律法规规章的行为依法追究相应责任（机关纪委）。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99F4C1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行政处罚法》（2021年1月22日主席令第70号）第七十六条“行政机关实施行政处罚，有下列情形之一，由上级行政机关或者有关机关责令改正，对直接负责的主管人员和其他直接责任人员依法给予处分：</w:t>
            </w:r>
          </w:p>
          <w:p w14:paraId="25B98C4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（一）没有法定的行政处罚依据的；</w:t>
            </w:r>
          </w:p>
          <w:p w14:paraId="30F014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（二）擅自改变行政处罚种类、幅度的；</w:t>
            </w:r>
          </w:p>
          <w:p w14:paraId="3CFC504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（三）违反法定的行政处罚程序的；</w:t>
            </w:r>
          </w:p>
          <w:p w14:paraId="6576F34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（四）违反本法第二十条关于委托处罚的规定的；</w:t>
            </w:r>
          </w:p>
          <w:p w14:paraId="7165A9A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（五）执法人员未取得执法证件的。</w:t>
            </w:r>
          </w:p>
          <w:p w14:paraId="580726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行政机关对符合立案标准的案件不及时立案的，依照前款规定予以处理。”                                                                                                                                      </w:t>
            </w:r>
          </w:p>
          <w:p w14:paraId="62A2CE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-2.【法律】《中华人民共和国行政处罚法》（2021年1月22日主席令第70号）第八十三条“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784CB43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2.同1-1。                                                                                                                        3.同1-1。</w:t>
            </w:r>
          </w:p>
          <w:p w14:paraId="48C533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4.【规章】《广西壮族自治区行政过错责任追究办法》（2007年4月17日会议审议通过，自2007年6月1日起施行） 第八条 实施行政行为，有下列情形之一的，应当追究行政过错责任人的责任: （一）依法应当回避不回避。</w:t>
            </w:r>
          </w:p>
          <w:p w14:paraId="494EC8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规】《行政机关公务员处分条例》（2007年国务院令第495号）第十九条第五项“有下列行为之一的，给予警告、记过或者记大过处分；情节较重的，给予降级或者撤职处分；情节严重的，给予开除处分：（五）违反规定应当回避而不回避，影响公正执行公务，造成不良后果的。”</w:t>
            </w:r>
          </w:p>
          <w:p w14:paraId="70C6F9D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6.【规章】《广西壮族自治区行政过错责任追究办法》（2007年4月17日会议审议通过，自2007年6月1日起施行） 第十二条 行政机关在实施行政处罚过程中，有下列情形之一的，应当追究行政过错责任：</w:t>
            </w:r>
          </w:p>
          <w:p w14:paraId="4B4A4C0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（一）不具备行政处罚主体资格；</w:t>
            </w:r>
          </w:p>
          <w:p w14:paraId="5335642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（二）没有事实和法律依据；</w:t>
            </w:r>
          </w:p>
          <w:p w14:paraId="0DC8448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（三）擅自改变处罚种类、幅度；</w:t>
            </w:r>
          </w:p>
          <w:p w14:paraId="3AA8EE7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（四）违反法定程序；（五）违法处理罚没财物；</w:t>
            </w:r>
          </w:p>
          <w:p w14:paraId="5EBA1F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（六）涉嫌犯罪，不移交司法机关；</w:t>
            </w:r>
          </w:p>
          <w:p w14:paraId="75FD967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（七）对违法行为应当处罚不处罚或者乱处罚；</w:t>
            </w:r>
          </w:p>
          <w:p w14:paraId="3F9822B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（八）其他违法实施行政处罚的情形。</w:t>
            </w:r>
          </w:p>
          <w:p w14:paraId="483A609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行政机关工作人员违反前款规定，应当承担行政过错责任。</w:t>
            </w:r>
          </w:p>
          <w:p w14:paraId="0A6204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7.同6。</w:t>
            </w:r>
          </w:p>
          <w:p w14:paraId="6FA2F98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8.【法律】《中华人民共和国行政处罚法》（2021年1月22日主席令第70号）第七十七条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14:paraId="04ECF8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9.【法律】《中华人民共和国行政处罚法》（2021年1月22日主席令第70号）第七十九条“行政机关截留、私分或者变相私分罚款、没收的违法所得或者财物的，由财政部门或者有关机关予以追缴，对直接负责的主管人员和其他直接责任人员依法给予处分；情节严重构成犯罪的，依法追究刑事责任。</w:t>
            </w:r>
          </w:p>
          <w:p w14:paraId="05FDA6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执法人员利用职务上的便利，索取或者收受他人财物、将收缴罚款据为己有，构成犯罪的，依法追究刑事责任；情节轻微不构成犯罪的，依法给予处分。”</w:t>
            </w:r>
          </w:p>
          <w:p w14:paraId="5C8A20A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10.同1。</w:t>
            </w:r>
          </w:p>
        </w:tc>
        <w:tc>
          <w:tcPr>
            <w:tcW w:w="2130" w:type="dxa"/>
            <w:tcBorders>
              <w:top w:val="single" w:color="auto" w:sz="4" w:space="0"/>
              <w:left w:val="nil"/>
              <w:bottom w:val="single" w:color="auto" w:sz="4" w:space="0"/>
              <w:right w:val="single" w:color="auto" w:sz="4" w:space="0"/>
            </w:tcBorders>
            <w:vAlign w:val="center"/>
          </w:tcPr>
          <w:p w14:paraId="512967F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commentRangeEnd w:id="1"/>
            <w:r>
              <w:rPr>
                <w:highlight w:val="none"/>
              </w:rPr>
              <w:commentReference w:id="1"/>
            </w:r>
          </w:p>
        </w:tc>
      </w:tr>
      <w:tr w14:paraId="30B7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A7B3155">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50</w:t>
            </w:r>
          </w:p>
        </w:tc>
        <w:tc>
          <w:tcPr>
            <w:tcW w:w="1060" w:type="dxa"/>
            <w:tcBorders>
              <w:top w:val="single" w:color="auto" w:sz="4" w:space="0"/>
              <w:left w:val="nil"/>
              <w:bottom w:val="single" w:color="auto" w:sz="4" w:space="0"/>
              <w:right w:val="single" w:color="auto" w:sz="4" w:space="0"/>
            </w:tcBorders>
            <w:vAlign w:val="center"/>
          </w:tcPr>
          <w:p w14:paraId="1D277CB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行政强制</w:t>
            </w:r>
          </w:p>
          <w:p w14:paraId="69A4C0E7">
            <w:pPr>
              <w:widowControl/>
              <w:adjustRightInd w:val="0"/>
              <w:snapToGrid w:val="0"/>
              <w:spacing w:line="300" w:lineRule="exact"/>
              <w:jc w:val="center"/>
              <w:rPr>
                <w:rFonts w:hint="eastAsia" w:eastAsia="仿宋_GB2312" w:cs="仿宋_GB2312"/>
                <w:snapToGrid w:val="0"/>
                <w:sz w:val="20"/>
                <w:szCs w:val="20"/>
                <w:highlight w:val="none"/>
              </w:rPr>
            </w:pPr>
          </w:p>
        </w:tc>
        <w:tc>
          <w:tcPr>
            <w:tcW w:w="572" w:type="dxa"/>
            <w:tcBorders>
              <w:top w:val="single" w:color="auto" w:sz="4" w:space="0"/>
              <w:left w:val="nil"/>
              <w:bottom w:val="single" w:color="auto" w:sz="4" w:space="0"/>
              <w:right w:val="single" w:color="auto" w:sz="4" w:space="0"/>
            </w:tcBorders>
            <w:vAlign w:val="center"/>
          </w:tcPr>
          <w:p w14:paraId="42EB8495">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对可能被转移、隐匿或者灭失的资料予以封存</w:t>
            </w:r>
          </w:p>
        </w:tc>
        <w:tc>
          <w:tcPr>
            <w:tcW w:w="685" w:type="dxa"/>
            <w:tcBorders>
              <w:top w:val="single" w:color="auto" w:sz="4" w:space="0"/>
              <w:left w:val="nil"/>
              <w:bottom w:val="single" w:color="auto" w:sz="4" w:space="0"/>
              <w:right w:val="single" w:color="auto" w:sz="4" w:space="0"/>
            </w:tcBorders>
            <w:vAlign w:val="center"/>
          </w:tcPr>
          <w:p w14:paraId="1AC08024">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58E948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248154D7">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城中区人力资源和社会保障局、城中区劳动保障服务中心</w:t>
            </w:r>
          </w:p>
        </w:tc>
        <w:tc>
          <w:tcPr>
            <w:tcW w:w="1317" w:type="dxa"/>
            <w:tcBorders>
              <w:top w:val="single" w:color="auto" w:sz="4" w:space="0"/>
              <w:left w:val="nil"/>
              <w:bottom w:val="single" w:color="auto" w:sz="4" w:space="0"/>
              <w:right w:val="single" w:color="auto" w:sz="4" w:space="0"/>
            </w:tcBorders>
            <w:vAlign w:val="center"/>
          </w:tcPr>
          <w:p w14:paraId="3AE2ACA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【法律】《中华人民共和国社会保险法》（2010年10月28日通过，2018年12月29日修正）第七十九条：……社会保险行政部门对社会保险基金实施监督检查，有权采取下列措施：</w:t>
            </w:r>
          </w:p>
          <w:p w14:paraId="3D7672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（一）查阅、记录、复制与社会保险基金收支、管理和投资运营相关的资料，对可能被转移、隐匿或者灭失的资料予以封存；</w:t>
            </w:r>
          </w:p>
          <w:p w14:paraId="447122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（二）询问与调查事项有关的单位和个人，要求其对与调查事项有关的问题作出说明、提供有关证明材料；</w:t>
            </w:r>
          </w:p>
          <w:p w14:paraId="2707E2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（三）对隐匿、转移、侵占、挪用社会保险基金的行为予以制止并责令改正。</w:t>
            </w:r>
          </w:p>
        </w:tc>
        <w:tc>
          <w:tcPr>
            <w:tcW w:w="2698" w:type="dxa"/>
            <w:tcBorders>
              <w:top w:val="single" w:color="auto" w:sz="4" w:space="0"/>
              <w:left w:val="nil"/>
              <w:bottom w:val="single" w:color="auto" w:sz="4" w:space="0"/>
              <w:right w:val="single" w:color="auto" w:sz="4" w:space="0"/>
            </w:tcBorders>
            <w:vAlign w:val="center"/>
          </w:tcPr>
          <w:p w14:paraId="0DD4F4C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1.催告责任：实施资料封存应通知当事人到场和告知当事人实施强制的理由、依据及依法享有的权利、救济途径；</w:t>
            </w:r>
          </w:p>
          <w:p w14:paraId="1323BF2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2.决定责任：行政机关决定实施查封、扣押的，应当履行</w:t>
            </w:r>
            <w:r>
              <w:rPr>
                <w:rFonts w:hint="eastAsia" w:eastAsia="仿宋_GB2312" w:cs="宋体"/>
                <w:snapToGrid w:val="0"/>
                <w:szCs w:val="21"/>
                <w:highlight w:val="none"/>
              </w:rPr>
              <w:t>《中华人民共和国行政强制法》</w:t>
            </w:r>
            <w:r>
              <w:rPr>
                <w:rFonts w:hint="eastAsia" w:eastAsia="仿宋_GB2312" w:cs="仿宋_GB2312"/>
                <w:snapToGrid w:val="0"/>
                <w:sz w:val="20"/>
                <w:szCs w:val="20"/>
                <w:highlight w:val="none"/>
              </w:rPr>
              <w:t>第十八条规定的程序，制作并当场交付查封、扣押决定书和清单；</w:t>
            </w:r>
          </w:p>
          <w:p w14:paraId="567BAF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3.执行责任：行政机关采取查封、扣押措施后，应当及时查清事实，并在法定期限内作出处理决定；</w:t>
            </w:r>
          </w:p>
          <w:p w14:paraId="7064006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4.监管责任：对已作出资料查封决定的处理进行监督检查，以确保下级查封机关及工作人员依法履职；</w:t>
            </w:r>
          </w:p>
          <w:p w14:paraId="130C883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7A33BE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强制法》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p>
          <w:p w14:paraId="098D31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法律】《中华人民共和国行政强制法》第十九条：情况紧急，需要当场实施行政强制措施的，行政执法人员应当在二十四小时内向行政机关负责人报告，并补办批准手续。行政机关负责人认为不应当采取行政强制措施的，应当立即解除。第二十四条  行政机关决定实施查封、扣押的，应当履行本法第十八条规定的程序，制作并当场交付查封、扣押决定书和清单。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查封、扣押清单一式二份，由当事人和行政机关分别保存。第三十六条　当事人收到催告书后有权进行陈述和申辩。行政机关应当充分听取当事人的意见，对当事人提出的事实、理由和证据，应当进行记录、复核。当事人提出的事实、理由或者证据成立的，行政机关应当采纳。</w:t>
            </w:r>
          </w:p>
          <w:p w14:paraId="2F9BC2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强制法》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p>
          <w:p w14:paraId="0D5736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4.【部门规章】《社会保险基金行政监督办法》（2022年人力资源社会保障部令第48号公布）第二十四条：人力资源社会保障行政部门对监督发现的问题，采取以下处理措施：</w:t>
            </w:r>
          </w:p>
          <w:p w14:paraId="03168E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（一）对社会保险基金收支、管理存在问题的，依法提出整改意见，采取约谈、函询、通报等手段督促整</w:t>
            </w:r>
            <w:r>
              <w:rPr>
                <w:rFonts w:eastAsia="仿宋_GB2312" w:cs="仿宋_GB2312"/>
                <w:snapToGrid w:val="0"/>
                <w:sz w:val="20"/>
                <w:szCs w:val="20"/>
                <w:highlight w:val="none"/>
              </w:rPr>
              <w:t>改；</w:t>
            </w:r>
          </w:p>
          <w:p w14:paraId="0753D3C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（二）对依法应当由有关主管机关处理的，向有关主管机关提出处理建议。</w:t>
            </w:r>
          </w:p>
          <w:p w14:paraId="297932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人力资源社会保障行政部门有权对被监督单位的整改情况进行检查。</w:t>
            </w:r>
          </w:p>
        </w:tc>
        <w:tc>
          <w:tcPr>
            <w:tcW w:w="1942" w:type="dxa"/>
            <w:tcBorders>
              <w:top w:val="single" w:color="auto" w:sz="4" w:space="0"/>
              <w:left w:val="nil"/>
              <w:bottom w:val="single" w:color="auto" w:sz="4" w:space="0"/>
              <w:right w:val="single" w:color="auto" w:sz="4" w:space="0"/>
            </w:tcBorders>
            <w:vAlign w:val="center"/>
          </w:tcPr>
          <w:p w14:paraId="14E2B8D9">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因不履行或不正确履行行政职责，有下列情形的，行政机关及相关工作人员应承担相应责任：</w:t>
            </w:r>
          </w:p>
          <w:p w14:paraId="7EB6BDBE">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1.封存没有事实和法律依据的（机关纪委）；</w:t>
            </w:r>
          </w:p>
          <w:p w14:paraId="7B57D968">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2.封存违反法定程序的（机关纪委）；</w:t>
            </w:r>
          </w:p>
          <w:p w14:paraId="59313ED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3.在法定期间对封存资料不作出处理决定或者未依法及时解除封存的（机关纪委）；</w:t>
            </w:r>
          </w:p>
          <w:p w14:paraId="4C0C0CF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4.损毁或丢失所封存资料的（机关纪委）；</w:t>
            </w:r>
          </w:p>
          <w:p w14:paraId="5CB5686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5.封存资料时侵犯公民、法人和其他组织合法权益的（机关纪委）；</w:t>
            </w:r>
          </w:p>
          <w:p w14:paraId="49AEC53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555107BE">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1.【地方政府规章】《广西壮族自治区行政过错责任追究办法》（2007广西壮族自治区人民政府令第24号公布）第十三条 行政机关及其工作人员实施行政强制，有下列情形之一的，应当追究行政过错责任: （一）没有事实和法律依据……</w:t>
            </w:r>
          </w:p>
          <w:p w14:paraId="348BC593">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2-1.【法律】《中华人民共和国行政强制法》第六十一条  行政机关实施行政强制，有下列情形之一的，由上级行政机关或者有关部门责令改正，对直接负责的主管人员和其他直接责任人员依法给予处分：……（三）违反法定程序实施行政强制的 ……</w:t>
            </w:r>
          </w:p>
          <w:p w14:paraId="1589807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2-2.【地方政府规章】《广西壮族自治区行政过错责任追究办法》（2007广西壮族自治区人民政府令第24号公布）第十三条 行政机关及其工作人员实施行政强制，有下列情形之一的，应当追究行政过错责任: ……（二）违反法定程序……</w:t>
            </w:r>
          </w:p>
          <w:p w14:paraId="782D9FD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3.【法律】《中华人民共和国行政强制法》第六十二条　违反本法规定，行政机关有下列情形之一的，由上级行政机关或者有关部门责令改正，对直接负责的主管人员和其他直接责任人员依法给予处分：……（三）在查封、扣押法定期间不作出处理决定或者未依法及时解除查封、扣押的 ……</w:t>
            </w:r>
          </w:p>
          <w:p w14:paraId="7EDB6E03">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4-1.【法律】《中华人民共和国行政强制法》第六十二条　违反本法规定，行政机关有下列情形之一的，由上级行政机关或者有关部门责令改正，对直接负责的主管人员和其他直接责任人员依法给予处分：……（二）使用或者损毁查封、扣押场所、设施或者财物的……</w:t>
            </w:r>
          </w:p>
          <w:p w14:paraId="282B877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4-2.【地方政府规章】《广西壮族自治区行政过错责任追究办法》（2007广西壮族自治区人民政府令第24号公布）第十三条  行政机关及其工作人员实施行政强制，有下列情形之一的，应当追究行政过错责任: ……（四）对查封、扣押、没收的财物保管不善，造成毁损……</w:t>
            </w:r>
          </w:p>
          <w:p w14:paraId="2B1273E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5．【地方政府规章】《广西壮族自治区行政过错责任追究办法》（2007广西壮族自治区人民政府令第24号公布）第十三条 行政机关及其工作人员实施行政强制，有下列情形之一的，应当追究行政过错责任: ……（五）侵犯公民、法人和其他组织合法权益……</w:t>
            </w:r>
          </w:p>
        </w:tc>
        <w:tc>
          <w:tcPr>
            <w:tcW w:w="2130" w:type="dxa"/>
            <w:tcBorders>
              <w:top w:val="single" w:color="auto" w:sz="4" w:space="0"/>
              <w:left w:val="nil"/>
              <w:bottom w:val="single" w:color="auto" w:sz="4" w:space="0"/>
              <w:right w:val="single" w:color="auto" w:sz="4" w:space="0"/>
            </w:tcBorders>
            <w:vAlign w:val="center"/>
          </w:tcPr>
          <w:p w14:paraId="49DBD968">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C31A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25ED565">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51</w:t>
            </w:r>
          </w:p>
        </w:tc>
        <w:tc>
          <w:tcPr>
            <w:tcW w:w="1060" w:type="dxa"/>
            <w:tcBorders>
              <w:top w:val="single" w:color="auto" w:sz="4" w:space="0"/>
              <w:left w:val="nil"/>
              <w:bottom w:val="single" w:color="auto" w:sz="4" w:space="0"/>
              <w:right w:val="single" w:color="auto" w:sz="4" w:space="0"/>
            </w:tcBorders>
            <w:vAlign w:val="center"/>
          </w:tcPr>
          <w:p w14:paraId="5D28209B">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123CCBBF">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对社会保险基金的收支、管理和投资运营情况的监督检查</w:t>
            </w:r>
          </w:p>
        </w:tc>
        <w:tc>
          <w:tcPr>
            <w:tcW w:w="685" w:type="dxa"/>
            <w:tcBorders>
              <w:top w:val="single" w:color="auto" w:sz="4" w:space="0"/>
              <w:left w:val="nil"/>
              <w:bottom w:val="single" w:color="auto" w:sz="4" w:space="0"/>
              <w:right w:val="single" w:color="auto" w:sz="4" w:space="0"/>
            </w:tcBorders>
            <w:vAlign w:val="center"/>
          </w:tcPr>
          <w:p w14:paraId="363F8E96">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893360B">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368AA3B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城中区人力资源和社会保障局、城中区劳动保障服务中心</w:t>
            </w:r>
          </w:p>
        </w:tc>
        <w:tc>
          <w:tcPr>
            <w:tcW w:w="1317" w:type="dxa"/>
            <w:tcBorders>
              <w:top w:val="single" w:color="auto" w:sz="4" w:space="0"/>
              <w:left w:val="nil"/>
              <w:bottom w:val="single" w:color="auto" w:sz="4" w:space="0"/>
              <w:right w:val="single" w:color="auto" w:sz="4" w:space="0"/>
            </w:tcBorders>
            <w:vAlign w:val="center"/>
          </w:tcPr>
          <w:p w14:paraId="7032A3C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1.【法律】《中华人民共和国劳动法》（1994年7月5日主席令第28号，2018年12月29日第二次修正）第七十四条第二款：社会保险基金监督机构依照法律规定，对社会保险基金的收支、管理和运营实施监督。</w:t>
            </w:r>
          </w:p>
          <w:p w14:paraId="2C279A1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法律】《中华人民共和国社会保险法》（2010年10月28日通过，2018年12月29日修正）第七十九条第一款：社会保险行政部门对社会保险基金的收支、管理和投资运营情况进行监督检查，发现存在问题的，应当提出整改建议，依法作出处理决定或者向有关行政部门提出处理建议。社会保险基金检查结果应当定期向社会公布。</w:t>
            </w:r>
          </w:p>
          <w:p w14:paraId="384FC05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3.【行政法规】《失业保险条例》（1999年国务院令第258号发布）第二十四条：劳动保障行政部门管理失业保险工作，履行下列职责：（三）对失业保险费的征收和失业保险待遇的支付进行监督检查。</w:t>
            </w:r>
          </w:p>
          <w:p w14:paraId="33C220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4.【行政法规】《工伤保险条例》（2003年4月27日国务院令第375号公布，2010年12月20日修订）第五十一条第一款：社会保险行政部门依法对工伤保险费的征缴和工伤保险基金的支付情况进行监督检查。</w:t>
            </w:r>
          </w:p>
          <w:p w14:paraId="6DC743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社会保险基金行政监督办法》（2022年人力资源社会保障部令第48号公布）第二条：本办法所称社会保险基金行政监督，是指人力资源社会保障行政部门对基本养老保险基金、工伤保险基金、失业保险基金等人力资源社会保障部门管理的社会保险基金收支、管理情况进行的监督。</w:t>
            </w:r>
          </w:p>
          <w:p w14:paraId="176128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七条：人力资源社会保障行政部门负责社会保险基金监督的机构具体实施社会保险基金行政监督工作。人力资源社会保障部门负责社会保险政策、经办、信息化综合管理等机构，依据职责协同做好社会保险基金行政监督工作。</w:t>
            </w:r>
          </w:p>
        </w:tc>
        <w:tc>
          <w:tcPr>
            <w:tcW w:w="2698" w:type="dxa"/>
            <w:tcBorders>
              <w:top w:val="single" w:color="auto" w:sz="4" w:space="0"/>
              <w:left w:val="nil"/>
              <w:bottom w:val="single" w:color="auto" w:sz="4" w:space="0"/>
              <w:right w:val="single" w:color="auto" w:sz="4" w:space="0"/>
            </w:tcBorders>
            <w:vAlign w:val="center"/>
          </w:tcPr>
          <w:p w14:paraId="2ADA4C0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64D8598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49A0416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17260B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0136F1B8">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w:t>
            </w:r>
            <w:r>
              <w:rPr>
                <w:rFonts w:hint="eastAsia" w:eastAsia="仿宋_GB2312" w:cs="仿宋_GB2312"/>
                <w:snapToGrid w:val="0"/>
                <w:sz w:val="20"/>
                <w:szCs w:val="20"/>
                <w:highlight w:val="none"/>
              </w:rPr>
              <w:t>【部门规章】《社会保险基金行政监督办法》（2022年人力资源社会保障部令第48号公布）第二十二条：人力资源社会保障行政部门实施现场检查，依照下列程序进行：</w:t>
            </w:r>
          </w:p>
          <w:p w14:paraId="76E791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（一）根据年度检查计划和工作需要确定检查项目及检查内容，制定检查方案，并在实施检查</w:t>
            </w:r>
            <w:r>
              <w:rPr>
                <w:rFonts w:eastAsia="仿宋_GB2312" w:cs="仿宋_GB2312"/>
                <w:snapToGrid w:val="0"/>
                <w:sz w:val="20"/>
                <w:szCs w:val="20"/>
                <w:highlight w:val="none"/>
              </w:rPr>
              <w:t>3</w:t>
            </w:r>
            <w:r>
              <w:rPr>
                <w:rFonts w:hint="eastAsia" w:eastAsia="仿宋_GB2312" w:cs="仿宋_GB2312"/>
                <w:snapToGrid w:val="0"/>
                <w:sz w:val="20"/>
                <w:szCs w:val="20"/>
                <w:highlight w:val="none"/>
              </w:rPr>
              <w:t>个工作日前通知被监督单位；提前通知可能影响检查结果的，可以现场下达检查通知；</w:t>
            </w:r>
          </w:p>
          <w:p w14:paraId="4D363190">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2-1.</w:t>
            </w:r>
            <w:r>
              <w:rPr>
                <w:rFonts w:hint="eastAsia" w:eastAsia="仿宋_GB2312" w:cs="仿宋_GB2312"/>
                <w:snapToGrid w:val="0"/>
                <w:sz w:val="20"/>
                <w:szCs w:val="20"/>
                <w:highlight w:val="none"/>
              </w:rPr>
              <w:t>【部门规章】《社会保险基金行政监督办法》（2022年人力资源社会保障部令第48号公布）第二十二条：人力资源社会保障行政部门实施现场检查，依照下列程序进行：</w:t>
            </w:r>
          </w:p>
          <w:p w14:paraId="30AB53B7">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w:t>
            </w:r>
            <w:r>
              <w:rPr>
                <w:rFonts w:hint="eastAsia" w:eastAsia="仿宋_GB2312" w:cs="仿宋_GB2312"/>
                <w:snapToGrid w:val="0"/>
                <w:sz w:val="20"/>
                <w:szCs w:val="20"/>
                <w:highlight w:val="none"/>
              </w:rPr>
              <w:t>（二）检查被监督单位社会保险基金相关凭证账簿，查阅与监督事项有关的文件、资料、档案、数据，向被监督单位和有关个人调查取证，听取被监督单位有关社会保险基金收支、管理使用情况的汇报</w:t>
            </w:r>
            <w:r>
              <w:rPr>
                <w:rFonts w:eastAsia="仿宋_GB2312" w:cs="仿宋_GB2312"/>
                <w:snapToGrid w:val="0"/>
                <w:sz w:val="20"/>
                <w:szCs w:val="20"/>
                <w:highlight w:val="none"/>
              </w:rPr>
              <w:t>……</w:t>
            </w:r>
          </w:p>
          <w:p w14:paraId="2AB1954A">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2-2.</w:t>
            </w:r>
            <w:r>
              <w:rPr>
                <w:rFonts w:hint="eastAsia" w:eastAsia="仿宋_GB2312" w:cs="仿宋_GB2312"/>
                <w:snapToGrid w:val="0"/>
                <w:sz w:val="20"/>
                <w:szCs w:val="20"/>
                <w:highlight w:val="none"/>
              </w:rPr>
              <w:t>【规范性文件】《劳动和社会保障部关于印发〈社会保障基金现场监督规则〉的通知》（劳社部发〔</w:t>
            </w:r>
            <w:r>
              <w:rPr>
                <w:rFonts w:eastAsia="仿宋_GB2312" w:cs="仿宋_GB2312"/>
                <w:snapToGrid w:val="0"/>
                <w:sz w:val="20"/>
                <w:szCs w:val="20"/>
                <w:highlight w:val="none"/>
              </w:rPr>
              <w:t>2003</w:t>
            </w:r>
            <w:r>
              <w:rPr>
                <w:rFonts w:hint="eastAsia" w:eastAsia="仿宋_GB2312" w:cs="仿宋_GB2312"/>
                <w:snapToGrid w:val="0"/>
                <w:sz w:val="20"/>
                <w:szCs w:val="20"/>
                <w:highlight w:val="none"/>
              </w:rPr>
              <w:t>〕</w:t>
            </w:r>
            <w:r>
              <w:rPr>
                <w:rFonts w:eastAsia="仿宋_GB2312" w:cs="仿宋_GB2312"/>
                <w:snapToGrid w:val="0"/>
                <w:sz w:val="20"/>
                <w:szCs w:val="20"/>
                <w:highlight w:val="none"/>
              </w:rPr>
              <w:t>5</w:t>
            </w:r>
            <w:r>
              <w:rPr>
                <w:rFonts w:hint="eastAsia" w:eastAsia="仿宋_GB2312" w:cs="仿宋_GB2312"/>
                <w:snapToGrid w:val="0"/>
                <w:sz w:val="20"/>
                <w:szCs w:val="20"/>
                <w:highlight w:val="none"/>
              </w:rPr>
              <w:t>号）第十三条：监督人员应记录检查发现的重要事项，编制现场监督工作底稿。现场监督工作底稿应一事一稿，并附有关检查证据。现场监督工作底稿经检查组审定后，送被监督单位相关人员签署意见……</w:t>
            </w:r>
          </w:p>
          <w:p w14:paraId="1C5DBEB3">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3-1.</w:t>
            </w:r>
            <w:r>
              <w:rPr>
                <w:rFonts w:hint="eastAsia" w:eastAsia="仿宋_GB2312" w:cs="仿宋_GB2312"/>
                <w:snapToGrid w:val="0"/>
                <w:sz w:val="20"/>
                <w:szCs w:val="20"/>
                <w:highlight w:val="none"/>
              </w:rPr>
              <w:t>【部门规章】《社会保险基金行政监督办法》（2022年人力资源社会保障部令第48号公布）第二十二条：人力资源社会保障行政部门实施现场检查，依照下列程序进行：</w:t>
            </w:r>
            <w:r>
              <w:rPr>
                <w:rFonts w:eastAsia="仿宋_GB2312" w:cs="仿宋_GB2312"/>
                <w:snapToGrid w:val="0"/>
                <w:sz w:val="20"/>
                <w:szCs w:val="20"/>
                <w:highlight w:val="none"/>
              </w:rPr>
              <w:t>……</w:t>
            </w:r>
            <w:r>
              <w:rPr>
                <w:rFonts w:hint="eastAsia" w:eastAsia="仿宋_GB2312" w:cs="仿宋_GB2312"/>
                <w:snapToGrid w:val="0"/>
                <w:sz w:val="20"/>
                <w:szCs w:val="20"/>
                <w:highlight w:val="none"/>
              </w:rPr>
              <w:t>（三）根据检查结果，形成检查报告，并送被监督单位征求意见。被监督单位如有异议，应当在接到检查报告</w:t>
            </w:r>
            <w:r>
              <w:rPr>
                <w:rFonts w:eastAsia="仿宋_GB2312" w:cs="仿宋_GB2312"/>
                <w:snapToGrid w:val="0"/>
                <w:sz w:val="20"/>
                <w:szCs w:val="20"/>
                <w:highlight w:val="none"/>
              </w:rPr>
              <w:t>10</w:t>
            </w:r>
            <w:r>
              <w:rPr>
                <w:rFonts w:hint="eastAsia" w:eastAsia="仿宋_GB2312" w:cs="仿宋_GB2312"/>
                <w:snapToGrid w:val="0"/>
                <w:sz w:val="20"/>
                <w:szCs w:val="20"/>
                <w:highlight w:val="none"/>
              </w:rPr>
              <w:t>个工作日内提出书面意见。逾期未提出书面意见的，视同无异议。第二十四条人力资源社会保障行政部门对监督发现的问题，采取以下处理措施：</w:t>
            </w:r>
          </w:p>
          <w:p w14:paraId="3BAC01B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（一）对社会保险基金收支、管理存在问题的，依法提出整改意见，采取约谈、函询、通报等手段督促整改；</w:t>
            </w:r>
          </w:p>
          <w:p w14:paraId="711AB9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（二）对依法应当由有关主管机关处理的，向有关主管机关提出处理建议。</w:t>
            </w:r>
          </w:p>
          <w:p w14:paraId="5251AB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人力资源社会保障行政部门有权对被监督单位的整改情况进行检查。</w:t>
            </w:r>
          </w:p>
          <w:p w14:paraId="6DB495BB">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3-2.</w:t>
            </w:r>
            <w:r>
              <w:rPr>
                <w:rFonts w:hint="eastAsia" w:eastAsia="仿宋_GB2312" w:cs="仿宋_GB2312"/>
                <w:snapToGrid w:val="0"/>
                <w:sz w:val="20"/>
                <w:szCs w:val="20"/>
                <w:highlight w:val="none"/>
              </w:rPr>
              <w:t>【规范性文件】《劳动和社会保障部关于印发〈社会保障基金现场监督规则〉的通知》（劳社部发〔</w:t>
            </w:r>
            <w:r>
              <w:rPr>
                <w:rFonts w:eastAsia="仿宋_GB2312" w:cs="仿宋_GB2312"/>
                <w:snapToGrid w:val="0"/>
                <w:sz w:val="20"/>
                <w:szCs w:val="20"/>
                <w:highlight w:val="none"/>
              </w:rPr>
              <w:t>2003</w:t>
            </w:r>
            <w:r>
              <w:rPr>
                <w:rFonts w:hint="eastAsia" w:eastAsia="仿宋_GB2312" w:cs="仿宋_GB2312"/>
                <w:snapToGrid w:val="0"/>
                <w:sz w:val="20"/>
                <w:szCs w:val="20"/>
                <w:highlight w:val="none"/>
              </w:rPr>
              <w:t>〕</w:t>
            </w:r>
            <w:r>
              <w:rPr>
                <w:rFonts w:eastAsia="仿宋_GB2312" w:cs="仿宋_GB2312"/>
                <w:snapToGrid w:val="0"/>
                <w:sz w:val="20"/>
                <w:szCs w:val="20"/>
                <w:highlight w:val="none"/>
              </w:rPr>
              <w:t>5</w:t>
            </w:r>
            <w:r>
              <w:rPr>
                <w:rFonts w:hint="eastAsia" w:eastAsia="仿宋_GB2312" w:cs="仿宋_GB2312"/>
                <w:snapToGrid w:val="0"/>
                <w:sz w:val="20"/>
                <w:szCs w:val="20"/>
                <w:highlight w:val="none"/>
              </w:rPr>
              <w:t>号）第十九条：基金监督机构对检查组提交的报告应予以审核。审核主要包括下列内容：（一）检查的有关事项是否清楚；（二）检查证据是否充分、合法、具有说服力；（三）检查程序是否符合有关规定。对事实不清、证据不足的现场监督报告，基金监督机构应责成检查组长说明情况或核实，也可另行调查取证核实。</w:t>
            </w:r>
          </w:p>
          <w:p w14:paraId="1AADA6E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条劳动保障行政部门基金监督机构根据现场监督报告，分别作如下处理。不需要行政处理的，下达监督意见书。监督意见书主要包括下列内容：……需要行政处理的，下达处理意见书。处理意见书主要包括下列内容：……需要政府或上级主管部门处理的重大问题，应及时报告。报告主要包括下列内容：……</w:t>
            </w:r>
          </w:p>
          <w:p w14:paraId="5FFA3D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第二十一条：被监督单位接到处理意见书后应按要求进行整改，并将处理和整改结果报基金监督机构。基金监督机构应检查处理意见的执行情况。</w:t>
            </w:r>
          </w:p>
          <w:p w14:paraId="7D9E2A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第二十二条：现场监督结束后，检查组应做好检查材料的整理归档工作，并及时移交基金监督机构。基金监督机构要做好后续资料的收集归档工作，妥善保管归档材料。归档主要包括下列资料：……</w:t>
            </w:r>
          </w:p>
        </w:tc>
        <w:tc>
          <w:tcPr>
            <w:tcW w:w="1942" w:type="dxa"/>
            <w:tcBorders>
              <w:top w:val="single" w:color="auto" w:sz="4" w:space="0"/>
              <w:left w:val="nil"/>
              <w:bottom w:val="single" w:color="auto" w:sz="4" w:space="0"/>
              <w:right w:val="single" w:color="auto" w:sz="4" w:space="0"/>
            </w:tcBorders>
            <w:vAlign w:val="center"/>
          </w:tcPr>
          <w:p w14:paraId="6A128C1C">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因不履行或不正确履行行政职责，有下列情形的，行政机关及相关工作人员应承担相应责任：</w:t>
            </w:r>
          </w:p>
          <w:p w14:paraId="04F6700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1.没有法定或者规定依据实施检查（机关纪委）；</w:t>
            </w:r>
          </w:p>
          <w:p w14:paraId="215A0E5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2.没有具体理由、事项、内容、对象实施检查（机关纪委）；</w:t>
            </w:r>
          </w:p>
          <w:p w14:paraId="3890FF89">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3.放弃、推诿、拖延、拒绝履行检查职责（机关纪委）；</w:t>
            </w:r>
          </w:p>
          <w:p w14:paraId="78E5C18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4.发现违法行为不依法制止、纠正（机关纪委）；</w:t>
            </w:r>
          </w:p>
          <w:p w14:paraId="1F19329C">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5.侵犯被检查对象合法权益（机关纪委）；</w:t>
            </w:r>
          </w:p>
          <w:p w14:paraId="4F51943C">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56511FF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1-1.【地方政府规章】《广西壮族自治区行政过错责任追究办法》（2007广西壮族自治区人民政府令第24号公布）第十一条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1705093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1-2.【部门规章】《社会保险基金行政监督办法》（2022年人力资源和社会保障部令第48号公布）第三十七条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p w14:paraId="1E7FEB7B">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4232964F">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65A3F2B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526B2A78">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7A998A61">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5-1.【法律】《中华人民共和国公务员法》第五十九条  公务员应当遵纪守法，不得有下列行为：……（十）滥用职权，侵害公民、法人或者其他组织的合法权益。</w:t>
            </w:r>
          </w:p>
          <w:p w14:paraId="6F293AA9">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5-2.【地方政府规章】《广西壮族自治区行政过错责任追究办法》（2007广西壮族自治区人民政府令第24号公布）第十一条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tc>
        <w:tc>
          <w:tcPr>
            <w:tcW w:w="2130" w:type="dxa"/>
            <w:tcBorders>
              <w:top w:val="single" w:color="auto" w:sz="4" w:space="0"/>
              <w:left w:val="nil"/>
              <w:bottom w:val="single" w:color="auto" w:sz="4" w:space="0"/>
              <w:right w:val="single" w:color="auto" w:sz="4" w:space="0"/>
            </w:tcBorders>
            <w:vAlign w:val="center"/>
          </w:tcPr>
          <w:p w14:paraId="70774AF4">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2D56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58E4C60">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52</w:t>
            </w:r>
          </w:p>
        </w:tc>
        <w:tc>
          <w:tcPr>
            <w:tcW w:w="1060" w:type="dxa"/>
            <w:tcBorders>
              <w:top w:val="single" w:color="auto" w:sz="4" w:space="0"/>
              <w:left w:val="nil"/>
              <w:bottom w:val="single" w:color="auto" w:sz="4" w:space="0"/>
              <w:right w:val="single" w:color="auto" w:sz="4" w:space="0"/>
            </w:tcBorders>
            <w:vAlign w:val="center"/>
          </w:tcPr>
          <w:p w14:paraId="504DA636">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02FDE40E">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对用人单位遵守劳动法律、法规的情况的监督检查</w:t>
            </w:r>
          </w:p>
        </w:tc>
        <w:tc>
          <w:tcPr>
            <w:tcW w:w="685" w:type="dxa"/>
            <w:tcBorders>
              <w:top w:val="single" w:color="auto" w:sz="4" w:space="0"/>
              <w:left w:val="nil"/>
              <w:bottom w:val="single" w:color="auto" w:sz="4" w:space="0"/>
              <w:right w:val="single" w:color="auto" w:sz="4" w:space="0"/>
            </w:tcBorders>
            <w:vAlign w:val="center"/>
          </w:tcPr>
          <w:p w14:paraId="0776A16D">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64D232F">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809BDB7">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4C693D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1.【法律】《中华人民共和国劳动法》（1994年7月5日主席令第28号，2018年12月29日第二次修正）第八十五条： 县级以上各级人民政府劳动行政部门依法对用人单位遵守劳动法律、法规的情况进行监督检查，对违反劳动法律、法规的行为有权制止，并责令改正。</w:t>
            </w:r>
          </w:p>
          <w:p w14:paraId="72B139F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2.【行政法规】《劳动保障监察条例》（2004年11月1日国务院令第423号）第十条：劳动保障行政部门实施劳动保障监察，履行下列职责：（二）检查用人单位遵守劳动保障法律、法规和规章的情况……。</w:t>
            </w:r>
          </w:p>
          <w:p w14:paraId="75855E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3.【行政法规】《禁止使用童工规定》（2002年10月1日国务院令第364号）第五条：县级以上各级人民政府劳动保障行政部门负责本规定执行情况的监督检查。……</w:t>
            </w:r>
          </w:p>
          <w:p w14:paraId="47940DC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行政法规】《女职工劳动保护特别规定》（2012年4月28日国务院令第619号）第十二条：县级以上人民政府人力资源社会保障行政部门、安全生产监督管理部门按照各自职责负责对用人单位遵守本规定的情况进行监督检查。</w:t>
            </w:r>
          </w:p>
          <w:p w14:paraId="4460EF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w:t>
            </w:r>
            <w:r>
              <w:rPr>
                <w:rFonts w:hint="eastAsia" w:eastAsia="仿宋_GB2312" w:cs="宋体"/>
                <w:snapToGrid w:val="0"/>
                <w:szCs w:val="21"/>
                <w:highlight w:val="none"/>
              </w:rPr>
              <w:t>【部门规章】</w:t>
            </w:r>
            <w:r>
              <w:rPr>
                <w:rFonts w:hint="eastAsia" w:eastAsia="仿宋_GB2312" w:cs="仿宋_GB2312"/>
                <w:snapToGrid w:val="0"/>
                <w:sz w:val="20"/>
                <w:szCs w:val="20"/>
                <w:highlight w:val="none"/>
              </w:rPr>
              <w:t>《未成年工特别保护规定》（1994年12月9日劳部发〔1994〕498号公布）第十一条第一款：县级以上劳动行政部门对用人单位执行本规定的情况进行监督检查，对违反本规定的行为依照有关法规进行处罚。</w:t>
            </w:r>
          </w:p>
          <w:p w14:paraId="3BE459F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6.【部门规章】《最低工资规定》（2004年1月20日劳动保障部令第21号）第四条第一款：县级以上地方人民政府劳动保障行政部门负责对本行政区域内用人单位执行本规定情况进行监督检查。</w:t>
            </w:r>
          </w:p>
          <w:p w14:paraId="77D15B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7.【行政法规】《职工带薪年休假条例》（2007年12月14日国务院令第514号）第六条第一款：县级以上地方人民政府人事部门、劳动保障部门应当依据职权对单位执行本条例的情况主动进行监督检查。</w:t>
            </w:r>
          </w:p>
          <w:p w14:paraId="2EC61C48">
            <w:pPr>
              <w:pStyle w:val="2"/>
              <w:jc w:val="left"/>
              <w:rPr>
                <w:b/>
                <w:bCs/>
                <w:sz w:val="44"/>
                <w:highlight w:val="none"/>
              </w:rPr>
            </w:pPr>
          </w:p>
          <w:p w14:paraId="20F7C718">
            <w:pPr>
              <w:pStyle w:val="3"/>
              <w:jc w:val="left"/>
              <w:rPr>
                <w:rFonts w:ascii="Times New Roman" w:hAnsi="Times New Roman"/>
                <w:bCs/>
                <w:sz w:val="44"/>
                <w:highlight w:val="none"/>
              </w:rPr>
            </w:pPr>
          </w:p>
          <w:p w14:paraId="24AA6C6A">
            <w:pPr>
              <w:jc w:val="left"/>
              <w:rPr>
                <w:b/>
                <w:bCs/>
                <w:sz w:val="44"/>
                <w:highlight w:val="none"/>
              </w:rPr>
            </w:pPr>
          </w:p>
          <w:p w14:paraId="24530094">
            <w:pPr>
              <w:pStyle w:val="2"/>
              <w:jc w:val="left"/>
              <w:rPr>
                <w:b/>
                <w:bCs/>
                <w:sz w:val="44"/>
                <w:highlight w:val="none"/>
              </w:rPr>
            </w:pPr>
          </w:p>
          <w:p w14:paraId="4270D40E">
            <w:pPr>
              <w:pStyle w:val="3"/>
              <w:jc w:val="left"/>
              <w:rPr>
                <w:rFonts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0687FF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1DE127A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70FDBA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465E48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3ED1D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1.【法律】《中华人民共和国劳动法》（1994年7月5日主席令第28号，2018年12月29日第二次修正）第八十五条： 县级以上各级人民政府劳动行政部门依法对用人单位遵守劳动法律、法规的情况进行监督检查，对违反劳动法律、法规的行为有权制止，并责令改正。第八十六条： 县级以上各级人民政府劳动行政部门监督检查人员执行公务，有权进入用人单位了解执行劳动法律、法规的情况，查阅必要的资料，并对劳动场所进行检查。</w:t>
            </w:r>
          </w:p>
          <w:p w14:paraId="6D1AC2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w:t>
            </w:r>
          </w:p>
          <w:p w14:paraId="390E2A3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5640B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FCAE6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E2566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28D6989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0A8543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w:t>
            </w:r>
          </w:p>
          <w:p w14:paraId="0661E72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论决定。</w:t>
            </w:r>
          </w:p>
          <w:p w14:paraId="6D2FC898">
            <w:pPr>
              <w:widowControl/>
              <w:adjustRightInd w:val="0"/>
              <w:snapToGrid w:val="0"/>
              <w:spacing w:line="300" w:lineRule="exact"/>
              <w:jc w:val="left"/>
              <w:rPr>
                <w:rFonts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46358DF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因不履行或不正确履行行政职责，有下列情形的，行政机关及相关工作人员应承担相应责任：</w:t>
            </w:r>
          </w:p>
          <w:p w14:paraId="1209F0B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1.没有法定或者规定依据实施检查（机关纪委）；</w:t>
            </w:r>
          </w:p>
          <w:p w14:paraId="356E1AAC">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2.没有具体理由、事项、内容、对象实施检查（机关纪委）；</w:t>
            </w:r>
          </w:p>
          <w:p w14:paraId="6A11887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3.放弃、推诿、拖延、拒绝履行检查职责（机关纪委）；</w:t>
            </w:r>
          </w:p>
          <w:p w14:paraId="4F484A9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4.发现违法行为不依法制止、纠正（机关纪委）；</w:t>
            </w:r>
          </w:p>
          <w:p w14:paraId="209FFC58">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5.侵犯被检查对象合法权益（机关纪委）；</w:t>
            </w:r>
          </w:p>
          <w:p w14:paraId="50E46DD5">
            <w:pPr>
              <w:widowControl/>
              <w:adjustRightInd w:val="0"/>
              <w:snapToGrid w:val="0"/>
              <w:spacing w:line="300" w:lineRule="exact"/>
              <w:jc w:val="left"/>
              <w:rPr>
                <w:rFonts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13179C87">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1-1.【法律】《中华人民共和国公务员法》第五十九条  公务员应当遵纪守法，不得有下列行为：……（十）滥用职权，侵害公民、法人或者其他组织的合法权益。</w:t>
            </w:r>
          </w:p>
          <w:p w14:paraId="7ABEA5C4">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1-2.【地方政府规章】《广西壮族自治区行政过错责任追究办法》（2007广西壮族自治区人民政府令第24号公布）第十一条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3454BC57">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1-3.【部门规章】《社会保险基金行政监督办法》（2022年人力资源和社会保障部令第48号公布）第三十七条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p w14:paraId="0C6663E2">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310D6EFF">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45E386E3">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6425D30D">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4-1.【法律】《中华人民共和国社会保险法》（2010年10月28日通过，2018年12月29日修正）第九十三条　国家工作人员在社会保险管理、监督工作中滥用职权、玩忽职守、徇私舞弊的，依法给予处分。</w:t>
            </w:r>
          </w:p>
          <w:p w14:paraId="34CEB80E">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4-2.【地方政府规章】《广西壮族自治区行政过错责任追究办法》（2007广西壮族自治区人民政府令第24号公布）第十一条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4BABBCC9">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4-3.【部门规章】《社会保险基金行政监督办法》（2022年人力资源和社会保障部令第48号公布）第三十七条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p w14:paraId="173D6269">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5.【地方政府规章】《广西壮族自治区行政过错责任追究办法》（2007广西壮族自治区人民政府令第24号公布）第十一条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p w14:paraId="5CDE373F">
            <w:pPr>
              <w:widowControl/>
              <w:adjustRightInd w:val="0"/>
              <w:snapToGrid w:val="0"/>
              <w:spacing w:line="300" w:lineRule="exact"/>
              <w:jc w:val="left"/>
              <w:rPr>
                <w:rFonts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6.【地方政府规章】《广西壮族自治区行政过错责任追究办法》（2007广西壮族自治区人民政府令第24号公布）第十一条  行政机关及其工作人员在实施行政监督检查过程中，有下列情形之一的，应当追究行政过错责任：……（六）其他违反行政监督检查规定的情形。</w:t>
            </w:r>
          </w:p>
        </w:tc>
        <w:tc>
          <w:tcPr>
            <w:tcW w:w="2130" w:type="dxa"/>
            <w:tcBorders>
              <w:top w:val="single" w:color="auto" w:sz="4" w:space="0"/>
              <w:left w:val="nil"/>
              <w:bottom w:val="single" w:color="auto" w:sz="4" w:space="0"/>
              <w:right w:val="single" w:color="auto" w:sz="4" w:space="0"/>
            </w:tcBorders>
            <w:vAlign w:val="center"/>
          </w:tcPr>
          <w:p w14:paraId="61B324A8">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DAFB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61A0C93">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53</w:t>
            </w:r>
          </w:p>
        </w:tc>
        <w:tc>
          <w:tcPr>
            <w:tcW w:w="1060" w:type="dxa"/>
            <w:tcBorders>
              <w:top w:val="single" w:color="auto" w:sz="4" w:space="0"/>
              <w:left w:val="nil"/>
              <w:bottom w:val="single" w:color="auto" w:sz="4" w:space="0"/>
              <w:right w:val="single" w:color="auto" w:sz="4" w:space="0"/>
            </w:tcBorders>
            <w:vAlign w:val="center"/>
          </w:tcPr>
          <w:p w14:paraId="0CC20843">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16FAF236">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对社会保险职责范围内举报、投诉的稽核</w:t>
            </w:r>
          </w:p>
        </w:tc>
        <w:tc>
          <w:tcPr>
            <w:tcW w:w="685" w:type="dxa"/>
            <w:tcBorders>
              <w:top w:val="single" w:color="auto" w:sz="4" w:space="0"/>
              <w:left w:val="nil"/>
              <w:bottom w:val="single" w:color="auto" w:sz="4" w:space="0"/>
              <w:right w:val="single" w:color="auto" w:sz="4" w:space="0"/>
            </w:tcBorders>
            <w:vAlign w:val="center"/>
          </w:tcPr>
          <w:p w14:paraId="563FC2AC">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480F351">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1E62C5E2">
            <w:pPr>
              <w:widowControl/>
              <w:tabs>
                <w:tab w:val="left" w:pos="217"/>
              </w:tabs>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城中区人力资源和社会保障局、城中区劳动保障服务中心</w:t>
            </w:r>
          </w:p>
        </w:tc>
        <w:tc>
          <w:tcPr>
            <w:tcW w:w="1317" w:type="dxa"/>
            <w:tcBorders>
              <w:top w:val="single" w:color="auto" w:sz="4" w:space="0"/>
              <w:left w:val="nil"/>
              <w:bottom w:val="single" w:color="auto" w:sz="4" w:space="0"/>
              <w:right w:val="single" w:color="auto" w:sz="4" w:space="0"/>
            </w:tcBorders>
            <w:vAlign w:val="center"/>
          </w:tcPr>
          <w:p w14:paraId="055CC2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社会保险法》（2010年10月28日通过，2018年12月29日修正）第八十二条：……社会保险行政部门、卫生行政部门、社会保险经办机构、社会保险费征收机构和财政部门、审计机关对属于本部门、本机构职责范围的举报、投诉，应当依法处理。有权处理的部门、机构应当及时处理，不得推诿。</w:t>
            </w:r>
          </w:p>
          <w:p w14:paraId="691C5D5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2.【部门规章】《社会保险稽核办法》（2003年2月27日劳动保障部令第16号公布）第三条：县级以上社会保险经办机构负责社会保险稽核工作。……</w:t>
            </w:r>
          </w:p>
          <w:p w14:paraId="670BDE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十二条：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tc>
        <w:tc>
          <w:tcPr>
            <w:tcW w:w="2698" w:type="dxa"/>
            <w:tcBorders>
              <w:top w:val="single" w:color="auto" w:sz="4" w:space="0"/>
              <w:left w:val="nil"/>
              <w:bottom w:val="single" w:color="auto" w:sz="4" w:space="0"/>
              <w:right w:val="single" w:color="auto" w:sz="4" w:space="0"/>
            </w:tcBorders>
            <w:vAlign w:val="center"/>
          </w:tcPr>
          <w:p w14:paraId="1ADBE9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1.受理责任：依法受理或不予受理（不予受理应当告知理由）；</w:t>
            </w:r>
          </w:p>
          <w:p w14:paraId="66D5F0F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2．审查责任：材料审核；提出审查意见；</w:t>
            </w:r>
          </w:p>
          <w:p w14:paraId="0AD2682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3．决定责任：作出决定（不予受理的应当告知理由）；按时办结；</w:t>
            </w:r>
          </w:p>
          <w:p w14:paraId="2A8D415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4．送达责任：制发送达书；信息公开；</w:t>
            </w:r>
          </w:p>
          <w:p w14:paraId="61D927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1F79AF8">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1-1.【法律】</w:t>
            </w:r>
            <w:r>
              <w:rPr>
                <w:rFonts w:hint="eastAsia" w:eastAsia="仿宋_GB2312" w:cs="仿宋_GB2312"/>
                <w:snapToGrid w:val="0"/>
                <w:sz w:val="20"/>
                <w:szCs w:val="20"/>
                <w:highlight w:val="none"/>
              </w:rPr>
              <w:t>《中华人民共和国社会保险法》（</w:t>
            </w:r>
            <w:r>
              <w:rPr>
                <w:rFonts w:eastAsia="仿宋_GB2312" w:cs="仿宋_GB2312"/>
                <w:snapToGrid w:val="0"/>
                <w:sz w:val="20"/>
                <w:szCs w:val="20"/>
                <w:highlight w:val="none"/>
              </w:rPr>
              <w:t>2010年10月28日通过，2018年12月29日修正）</w:t>
            </w:r>
            <w:r>
              <w:rPr>
                <w:rFonts w:hint="eastAsia" w:eastAsia="仿宋_GB2312" w:cs="仿宋_GB2312"/>
                <w:snapToGrid w:val="0"/>
                <w:sz w:val="20"/>
                <w:szCs w:val="20"/>
                <w:highlight w:val="none"/>
              </w:rPr>
              <w:t>第八十二条：……社会保险行政部门、卫生行政部门、社会保险经办机构、社会保险费征收机构和财政部门、审计机关对属于本部门、本机构职责范围的举报、投诉，应当依法处理；对不属于本部门、本机构职责范围的，应当书面通知并移交有权处理的部门、机构处理。有权处理的部门、机构应当及时处理，不得推诿。</w:t>
            </w:r>
          </w:p>
          <w:p w14:paraId="7AFC0EB0">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1-2.【部门规章】</w:t>
            </w:r>
            <w:r>
              <w:rPr>
                <w:rFonts w:hint="eastAsia" w:eastAsia="仿宋_GB2312" w:cs="仿宋_GB2312"/>
                <w:snapToGrid w:val="0"/>
                <w:sz w:val="20"/>
                <w:szCs w:val="20"/>
                <w:highlight w:val="none"/>
              </w:rPr>
              <w:t>《社会保险稽核办法》（2003年2月27日劳动保障部令第16号公布）</w:t>
            </w:r>
            <w:r>
              <w:rPr>
                <w:rFonts w:eastAsia="仿宋_GB2312" w:cs="仿宋_GB2312"/>
                <w:snapToGrid w:val="0"/>
                <w:sz w:val="20"/>
                <w:szCs w:val="20"/>
                <w:highlight w:val="none"/>
              </w:rPr>
              <w:t>第三条：县级以上社会保险经办机构负责社会保险稽核工作。</w:t>
            </w:r>
            <w:r>
              <w:rPr>
                <w:rFonts w:hint="eastAsia" w:eastAsia="仿宋_GB2312" w:cs="仿宋_GB2312"/>
                <w:snapToGrid w:val="0"/>
                <w:sz w:val="20"/>
                <w:szCs w:val="20"/>
                <w:highlight w:val="none"/>
              </w:rPr>
              <w:t>……</w:t>
            </w:r>
          </w:p>
          <w:p w14:paraId="462FEC19">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-3.【自治区党委政府文件】自治区党委编办关于印发《广西壮族自治区社会保险事业管理中心职能配置、内设机构和人员编制规定》的通知（桂编办发〔2019〕63号文件）第四条第（十）款：负责自治区本级并指导全区“三险一金”待遇举报、投诉的稽核事务性工作。</w:t>
            </w:r>
          </w:p>
          <w:p w14:paraId="2FD2D21A">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2.同１。</w:t>
            </w:r>
          </w:p>
          <w:p w14:paraId="03D4397F">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3.同１。</w:t>
            </w:r>
          </w:p>
          <w:p w14:paraId="3AC43061">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4.同１。</w:t>
            </w:r>
          </w:p>
          <w:p w14:paraId="2E58B4D4">
            <w:pPr>
              <w:widowControl/>
              <w:adjustRightInd w:val="0"/>
              <w:snapToGrid w:val="0"/>
              <w:spacing w:line="300" w:lineRule="exact"/>
              <w:jc w:val="left"/>
              <w:rPr>
                <w:rFonts w:eastAsia="仿宋_GB2312" w:cs="仿宋_GB2312"/>
                <w:snapToGrid w:val="0"/>
                <w:sz w:val="20"/>
                <w:szCs w:val="20"/>
                <w:highlight w:val="none"/>
              </w:rPr>
            </w:pPr>
          </w:p>
          <w:p w14:paraId="16343EEF">
            <w:pPr>
              <w:pStyle w:val="2"/>
              <w:jc w:val="left"/>
              <w:rPr>
                <w:highlight w:val="none"/>
              </w:rPr>
            </w:pPr>
          </w:p>
          <w:p w14:paraId="7D26CF6A">
            <w:pPr>
              <w:pStyle w:val="3"/>
              <w:jc w:val="left"/>
              <w:rPr>
                <w:rFonts w:ascii="Times New Roman" w:hAnsi="Times New Roman"/>
                <w:highlight w:val="none"/>
              </w:rPr>
            </w:pPr>
          </w:p>
          <w:p w14:paraId="01204A6D">
            <w:pPr>
              <w:jc w:val="left"/>
              <w:rPr>
                <w:highlight w:val="none"/>
              </w:rPr>
            </w:pPr>
          </w:p>
          <w:p w14:paraId="23C436F6">
            <w:pPr>
              <w:pStyle w:val="2"/>
              <w:jc w:val="left"/>
              <w:rPr>
                <w:highlight w:val="none"/>
              </w:rPr>
            </w:pPr>
          </w:p>
          <w:p w14:paraId="7FA2DD01">
            <w:pPr>
              <w:pStyle w:val="3"/>
              <w:jc w:val="left"/>
              <w:rPr>
                <w:rFonts w:ascii="Times New Roman" w:hAnsi="Times New Roman"/>
                <w:highlight w:val="none"/>
              </w:rPr>
            </w:pPr>
          </w:p>
          <w:p w14:paraId="5D02E281">
            <w:pPr>
              <w:widowControl/>
              <w:adjustRightInd w:val="0"/>
              <w:snapToGrid w:val="0"/>
              <w:spacing w:line="300" w:lineRule="exact"/>
              <w:jc w:val="left"/>
              <w:rPr>
                <w:rFonts w:hint="eastAsia"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3EBE0328">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因不履行或不正确履行稽核职责，有下列情形的相关工作人员应承担相应责任:</w:t>
            </w:r>
          </w:p>
          <w:p w14:paraId="60608C0A">
            <w:pPr>
              <w:widowControl/>
              <w:adjustRightInd w:val="0"/>
              <w:snapToGrid w:val="0"/>
              <w:spacing w:line="300" w:lineRule="exact"/>
              <w:jc w:val="left"/>
              <w:rPr>
                <w:rFonts w:hint="default" w:ascii="Times New Roman" w:hAnsi="Times New Roman" w:eastAsia="仿宋_GB2312" w:cs="仿宋_GB2312"/>
                <w:snapToGrid w:val="0"/>
                <w:sz w:val="20"/>
                <w:szCs w:val="20"/>
                <w:highlight w:val="none"/>
                <w:lang w:val="en-US"/>
              </w:rPr>
            </w:pPr>
            <w:r>
              <w:rPr>
                <w:rFonts w:hint="eastAsia" w:ascii="Times New Roman" w:hAnsi="Times New Roman" w:eastAsia="仿宋_GB2312" w:cs="仿宋_GB2312"/>
                <w:snapToGrid w:val="0"/>
                <w:sz w:val="20"/>
                <w:szCs w:val="20"/>
                <w:highlight w:val="none"/>
              </w:rPr>
              <w:t>1.违反程序实施稽核检查的（社会保险基金监管</w:t>
            </w:r>
            <w:r>
              <w:rPr>
                <w:rFonts w:hint="eastAsia" w:ascii="Times New Roman" w:hAnsi="Times New Roman" w:eastAsia="仿宋_GB2312" w:cs="仿宋_GB2312"/>
                <w:snapToGrid w:val="0"/>
                <w:sz w:val="20"/>
                <w:szCs w:val="20"/>
                <w:highlight w:val="none"/>
                <w:lang w:eastAsia="zh-CN"/>
              </w:rPr>
              <w:t>科</w:t>
            </w:r>
            <w:r>
              <w:rPr>
                <w:rFonts w:hint="eastAsia" w:ascii="Times New Roman" w:hAnsi="Times New Roman" w:eastAsia="仿宋_GB2312" w:cs="仿宋_GB2312"/>
                <w:snapToGrid w:val="0"/>
                <w:sz w:val="20"/>
                <w:szCs w:val="20"/>
                <w:highlight w:val="none"/>
              </w:rPr>
              <w:t>）；</w:t>
            </w:r>
          </w:p>
          <w:p w14:paraId="0BB2857F">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2.实施稽核检查过程中，索取或者收受他人财物或者谋取其他利益（社会保险基金监管</w:t>
            </w:r>
            <w:r>
              <w:rPr>
                <w:rFonts w:hint="eastAsia" w:ascii="Times New Roman" w:hAnsi="Times New Roman" w:eastAsia="仿宋_GB2312" w:cs="仿宋_GB2312"/>
                <w:snapToGrid w:val="0"/>
                <w:sz w:val="20"/>
                <w:szCs w:val="20"/>
                <w:highlight w:val="none"/>
                <w:lang w:eastAsia="zh-CN"/>
              </w:rPr>
              <w:t>科</w:t>
            </w:r>
            <w:r>
              <w:rPr>
                <w:rFonts w:hint="eastAsia" w:ascii="Times New Roman" w:hAnsi="Times New Roman" w:eastAsia="仿宋_GB2312" w:cs="仿宋_GB2312"/>
                <w:snapToGrid w:val="0"/>
                <w:sz w:val="20"/>
                <w:szCs w:val="20"/>
                <w:highlight w:val="none"/>
              </w:rPr>
              <w:t>）；</w:t>
            </w:r>
          </w:p>
          <w:p w14:paraId="483645EE">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50C028AA">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1-1.【法律】《中华人民共和国社会保险法》（2010年10月28日通过，2018年12月29日修正）第八十九条  社会保险经办机构及其工作人员有下列行为之一的，由社会保险行政部门责令改正；...对直接负责的主管人员和其他直接责任人员依法给予处分：（一）未履行社会保险法定职责的。</w:t>
            </w:r>
          </w:p>
          <w:p w14:paraId="645CAFFB">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1-2.【部门规章】《社会保险稽核办法》（2003年2月27日劳动保障部令第16号公布）第十三条  社会保险经办机构工作人员在稽核工作中滥用职权、徇私舞弊、玩忽职守的，依法给予行政处分；构成犯罪的，依法追究刑事责任。</w:t>
            </w:r>
          </w:p>
          <w:p w14:paraId="31904000">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2.同1。</w:t>
            </w:r>
          </w:p>
        </w:tc>
        <w:tc>
          <w:tcPr>
            <w:tcW w:w="2130" w:type="dxa"/>
            <w:tcBorders>
              <w:top w:val="single" w:color="auto" w:sz="4" w:space="0"/>
              <w:left w:val="nil"/>
              <w:bottom w:val="single" w:color="auto" w:sz="4" w:space="0"/>
              <w:right w:val="single" w:color="auto" w:sz="4" w:space="0"/>
            </w:tcBorders>
            <w:vAlign w:val="center"/>
          </w:tcPr>
          <w:p w14:paraId="7817D3AA">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宋体"/>
                <w:snapToGrid w:val="0"/>
                <w:color w:val="auto"/>
                <w:szCs w:val="21"/>
                <w:highlight w:val="none"/>
                <w:lang w:eastAsia="zh-CN"/>
              </w:rPr>
              <w:t>法律法规规章规定的免责情形及市委、市人民政府有关文件中明确的免责情形。</w:t>
            </w:r>
          </w:p>
        </w:tc>
      </w:tr>
      <w:tr w14:paraId="369AD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6DD9996">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54</w:t>
            </w:r>
          </w:p>
        </w:tc>
        <w:tc>
          <w:tcPr>
            <w:tcW w:w="1060" w:type="dxa"/>
            <w:tcBorders>
              <w:top w:val="single" w:color="auto" w:sz="4" w:space="0"/>
              <w:left w:val="nil"/>
              <w:bottom w:val="single" w:color="auto" w:sz="4" w:space="0"/>
              <w:right w:val="single" w:color="auto" w:sz="4" w:space="0"/>
            </w:tcBorders>
            <w:vAlign w:val="center"/>
          </w:tcPr>
          <w:p w14:paraId="41C31B01">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1273368C">
            <w:pPr>
              <w:widowControl/>
              <w:adjustRightInd w:val="0"/>
              <w:snapToGrid w:val="0"/>
              <w:spacing w:line="300" w:lineRule="exact"/>
              <w:jc w:val="center"/>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社会保险待遇稽核</w:t>
            </w:r>
          </w:p>
        </w:tc>
        <w:tc>
          <w:tcPr>
            <w:tcW w:w="685" w:type="dxa"/>
            <w:tcBorders>
              <w:top w:val="single" w:color="auto" w:sz="4" w:space="0"/>
              <w:left w:val="nil"/>
              <w:bottom w:val="single" w:color="auto" w:sz="4" w:space="0"/>
              <w:right w:val="single" w:color="auto" w:sz="4" w:space="0"/>
            </w:tcBorders>
            <w:vAlign w:val="center"/>
          </w:tcPr>
          <w:p w14:paraId="1C65D638">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FAD420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w:t>
            </w:r>
            <w:r>
              <w:rPr>
                <w:rFonts w:hint="eastAsia" w:eastAsia="仿宋_GB2312" w:cs="仿宋_GB2312"/>
                <w:snapToGrid w:val="0"/>
                <w:sz w:val="20"/>
                <w:szCs w:val="20"/>
                <w:highlight w:val="none"/>
              </w:rPr>
              <w:t>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2B03BBC6">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城中区人力资源和社会保障局、城中区劳动保障服务中心</w:t>
            </w:r>
          </w:p>
        </w:tc>
        <w:tc>
          <w:tcPr>
            <w:tcW w:w="1317" w:type="dxa"/>
            <w:tcBorders>
              <w:top w:val="single" w:color="auto" w:sz="4" w:space="0"/>
              <w:left w:val="nil"/>
              <w:bottom w:val="single" w:color="auto" w:sz="4" w:space="0"/>
              <w:right w:val="single" w:color="auto" w:sz="4" w:space="0"/>
            </w:tcBorders>
            <w:vAlign w:val="center"/>
          </w:tcPr>
          <w:p w14:paraId="27AC152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社会保险法》（2010年10月28日通过，2018年12月29日修正）第八十二条第二款：社会保险行政部门、卫生行政部门、社会保险经办机构、社会保险费征收机构和财政部门、审计机关对属于本部门、本机构职责范围的举报、投诉，应当依法处理。有权处理的部门、机构应当及时处理，不得推诿。</w:t>
            </w:r>
          </w:p>
          <w:p w14:paraId="3C6A06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2.【部门规章】《社会保险稽核办法》（2003年2月27日劳动保障部令第16号公布）第三条：县级以上社会保险经办机构负责社会保险稽核工作。</w:t>
            </w:r>
          </w:p>
          <w:p w14:paraId="456849F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十二条：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tc>
        <w:tc>
          <w:tcPr>
            <w:tcW w:w="2698" w:type="dxa"/>
            <w:tcBorders>
              <w:top w:val="single" w:color="auto" w:sz="4" w:space="0"/>
              <w:left w:val="nil"/>
              <w:bottom w:val="single" w:color="auto" w:sz="4" w:space="0"/>
              <w:right w:val="single" w:color="auto" w:sz="4" w:space="0"/>
            </w:tcBorders>
            <w:vAlign w:val="center"/>
          </w:tcPr>
          <w:p w14:paraId="0337E5D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39EAC34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7B77B3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3C8184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p w14:paraId="43257D5A">
            <w:pPr>
              <w:pStyle w:val="2"/>
              <w:jc w:val="left"/>
              <w:rPr>
                <w:rFonts w:eastAsia="仿宋_GB2312" w:cs="仿宋_GB2312"/>
                <w:snapToGrid w:val="0"/>
                <w:sz w:val="20"/>
                <w:szCs w:val="20"/>
                <w:highlight w:val="none"/>
              </w:rPr>
            </w:pPr>
          </w:p>
        </w:tc>
        <w:tc>
          <w:tcPr>
            <w:tcW w:w="5244" w:type="dxa"/>
            <w:tcBorders>
              <w:top w:val="single" w:color="auto" w:sz="4" w:space="0"/>
              <w:left w:val="nil"/>
              <w:bottom w:val="single" w:color="auto" w:sz="4" w:space="0"/>
              <w:right w:val="single" w:color="auto" w:sz="4" w:space="0"/>
            </w:tcBorders>
            <w:vAlign w:val="center"/>
          </w:tcPr>
          <w:p w14:paraId="6E61E6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1.【部门规章】《社会保险稽核办法》（2003年2月27日劳动保障部令第16号公布）第三条：县级以上社会保险经办机构负责社会保险稽核工作。</w:t>
            </w:r>
          </w:p>
          <w:p w14:paraId="32E9DFF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第十二条： 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p w14:paraId="5CC22BD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w:t>
            </w:r>
          </w:p>
          <w:p w14:paraId="6B5F9B1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 3.【法律】《中华人民共和国行政处罚法》（1996年3月17日通过，2021年1月22日修订）第五十七条：调查终结，行政机关负责人应当对调查结果进行审查，根据不同情况，分别作出如下决定：</w:t>
            </w:r>
          </w:p>
          <w:p w14:paraId="4998EF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2927C43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43E60A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3B0629B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4258C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4CC8A56D">
            <w:pPr>
              <w:pStyle w:val="2"/>
              <w:jc w:val="left"/>
              <w:rPr>
                <w:rFonts w:eastAsia="仿宋_GB2312" w:cs="仿宋_GB2312"/>
                <w:snapToGrid w:val="0"/>
                <w:sz w:val="20"/>
                <w:szCs w:val="20"/>
                <w:highlight w:val="none"/>
              </w:rPr>
            </w:pPr>
          </w:p>
          <w:p w14:paraId="578B3D4D">
            <w:pPr>
              <w:pStyle w:val="3"/>
              <w:jc w:val="left"/>
              <w:rPr>
                <w:rFonts w:ascii="Times New Roman" w:hAnsi="Times New Roman" w:eastAsia="仿宋_GB2312" w:cs="仿宋_GB2312"/>
                <w:b w:val="0"/>
                <w:snapToGrid w:val="0"/>
                <w:sz w:val="20"/>
                <w:szCs w:val="20"/>
                <w:highlight w:val="none"/>
              </w:rPr>
            </w:pPr>
          </w:p>
          <w:p w14:paraId="70152A16">
            <w:pPr>
              <w:jc w:val="left"/>
              <w:rPr>
                <w:rFonts w:eastAsia="仿宋_GB2312" w:cs="仿宋_GB2312"/>
                <w:snapToGrid w:val="0"/>
                <w:sz w:val="20"/>
                <w:szCs w:val="20"/>
                <w:highlight w:val="none"/>
              </w:rPr>
            </w:pPr>
          </w:p>
          <w:p w14:paraId="1E3396C4">
            <w:pPr>
              <w:pStyle w:val="2"/>
              <w:jc w:val="left"/>
              <w:rPr>
                <w:rFonts w:eastAsia="仿宋_GB2312" w:cs="仿宋_GB2312"/>
                <w:snapToGrid w:val="0"/>
                <w:sz w:val="20"/>
                <w:szCs w:val="20"/>
                <w:highlight w:val="none"/>
              </w:rPr>
            </w:pPr>
          </w:p>
          <w:p w14:paraId="1FD066E0">
            <w:pPr>
              <w:jc w:val="left"/>
              <w:rPr>
                <w:rFonts w:hint="eastAsia"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0535D985">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因不履行或不正确履行稽核职责，有下列情形的相关工作人员应承担相应责任:</w:t>
            </w:r>
          </w:p>
          <w:p w14:paraId="1688C0C2">
            <w:pPr>
              <w:widowControl/>
              <w:adjustRightInd w:val="0"/>
              <w:snapToGrid w:val="0"/>
              <w:spacing w:line="300" w:lineRule="exact"/>
              <w:jc w:val="left"/>
              <w:rPr>
                <w:rFonts w:hint="default" w:ascii="Times New Roman" w:hAnsi="Times New Roman" w:eastAsia="仿宋_GB2312" w:cs="仿宋_GB2312"/>
                <w:snapToGrid w:val="0"/>
                <w:sz w:val="20"/>
                <w:szCs w:val="20"/>
                <w:highlight w:val="none"/>
                <w:lang w:val="en-US"/>
              </w:rPr>
            </w:pPr>
            <w:r>
              <w:rPr>
                <w:rFonts w:hint="eastAsia" w:ascii="Times New Roman" w:hAnsi="Times New Roman" w:eastAsia="仿宋_GB2312" w:cs="仿宋_GB2312"/>
                <w:snapToGrid w:val="0"/>
                <w:sz w:val="20"/>
                <w:szCs w:val="20"/>
                <w:highlight w:val="none"/>
              </w:rPr>
              <w:t>1.违反程序实施稽核检查的（社会保险基金监管</w:t>
            </w:r>
            <w:r>
              <w:rPr>
                <w:rFonts w:hint="eastAsia" w:ascii="Times New Roman" w:hAnsi="Times New Roman" w:eastAsia="仿宋_GB2312" w:cs="仿宋_GB2312"/>
                <w:snapToGrid w:val="0"/>
                <w:sz w:val="20"/>
                <w:szCs w:val="20"/>
                <w:highlight w:val="none"/>
                <w:lang w:eastAsia="zh-CN"/>
              </w:rPr>
              <w:t>科</w:t>
            </w:r>
            <w:r>
              <w:rPr>
                <w:rFonts w:hint="eastAsia" w:ascii="Times New Roman" w:hAnsi="Times New Roman" w:eastAsia="仿宋_GB2312" w:cs="仿宋_GB2312"/>
                <w:snapToGrid w:val="0"/>
                <w:sz w:val="20"/>
                <w:szCs w:val="20"/>
                <w:highlight w:val="none"/>
              </w:rPr>
              <w:t>）；</w:t>
            </w:r>
          </w:p>
          <w:p w14:paraId="7CFF17FF">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2.实施稽核检查过程中，索取或者收受他人财物或者谋取其他利益（社会保险基金监管</w:t>
            </w:r>
            <w:r>
              <w:rPr>
                <w:rFonts w:hint="eastAsia" w:ascii="Times New Roman" w:hAnsi="Times New Roman" w:eastAsia="仿宋_GB2312" w:cs="仿宋_GB2312"/>
                <w:snapToGrid w:val="0"/>
                <w:sz w:val="20"/>
                <w:szCs w:val="20"/>
                <w:highlight w:val="none"/>
                <w:lang w:eastAsia="zh-CN"/>
              </w:rPr>
              <w:t>科</w:t>
            </w:r>
            <w:r>
              <w:rPr>
                <w:rFonts w:hint="eastAsia" w:ascii="Times New Roman" w:hAnsi="Times New Roman" w:eastAsia="仿宋_GB2312" w:cs="仿宋_GB2312"/>
                <w:snapToGrid w:val="0"/>
                <w:sz w:val="20"/>
                <w:szCs w:val="20"/>
                <w:highlight w:val="none"/>
              </w:rPr>
              <w:t>）；</w:t>
            </w:r>
          </w:p>
          <w:p w14:paraId="65926781">
            <w:pPr>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3.除以上追责情形外，其他违反法律法规规章的行为依法追究相应责任（机关纪委）。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32C9B8B6">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1-1.【法律】《中华人民共和国社会保险法》（2010年10月28日通过，2018年12月29日修正）第八十九条  社会保险经办机构及其工作人员有下列行为之一的，由社会保险行政部门责令改正；...对直接负责的主管人员和其他直接责任人员依法给予处分：（一）未履行社会保险法定职责的。</w:t>
            </w:r>
          </w:p>
          <w:p w14:paraId="58CE4A80">
            <w:pPr>
              <w:widowControl/>
              <w:adjustRightInd w:val="0"/>
              <w:snapToGrid w:val="0"/>
              <w:spacing w:line="300" w:lineRule="exact"/>
              <w:jc w:val="left"/>
              <w:rPr>
                <w:rFonts w:hint="eastAsia" w:ascii="Times New Roman" w:hAnsi="Times New Roman"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1-2.【部门规章】《社会保险稽核办法》（2003年2月27日劳动保障部令第16号公布）第十三条  社会保险经办机构工作人员在稽核工作中滥用职权、徇私舞弊、玩忽职守的，依法给予行政处分；构成犯罪的，依法追究刑事责任。</w:t>
            </w:r>
          </w:p>
          <w:p w14:paraId="1F1BE45D">
            <w:pPr>
              <w:widowControl/>
              <w:adjustRightInd w:val="0"/>
              <w:snapToGrid w:val="0"/>
              <w:spacing w:line="300" w:lineRule="exact"/>
              <w:jc w:val="left"/>
              <w:rPr>
                <w:rFonts w:hint="eastAsia" w:eastAsia="仿宋_GB2312" w:cs="仿宋_GB2312"/>
                <w:snapToGrid w:val="0"/>
                <w:sz w:val="20"/>
                <w:szCs w:val="20"/>
                <w:highlight w:val="none"/>
              </w:rPr>
            </w:pPr>
            <w:r>
              <w:rPr>
                <w:rFonts w:hint="eastAsia" w:ascii="Times New Roman" w:hAnsi="Times New Roman" w:eastAsia="仿宋_GB2312" w:cs="仿宋_GB2312"/>
                <w:snapToGrid w:val="0"/>
                <w:sz w:val="20"/>
                <w:szCs w:val="20"/>
                <w:highlight w:val="none"/>
              </w:rPr>
              <w:t>2.同1。</w:t>
            </w:r>
          </w:p>
        </w:tc>
        <w:tc>
          <w:tcPr>
            <w:tcW w:w="2130" w:type="dxa"/>
            <w:tcBorders>
              <w:top w:val="single" w:color="auto" w:sz="4" w:space="0"/>
              <w:left w:val="nil"/>
              <w:bottom w:val="single" w:color="auto" w:sz="4" w:space="0"/>
              <w:right w:val="single" w:color="auto" w:sz="4" w:space="0"/>
            </w:tcBorders>
            <w:vAlign w:val="center"/>
          </w:tcPr>
          <w:p w14:paraId="05C609AB">
            <w:pPr>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6741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DDBCF1F">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55</w:t>
            </w:r>
          </w:p>
        </w:tc>
        <w:tc>
          <w:tcPr>
            <w:tcW w:w="1060" w:type="dxa"/>
            <w:tcBorders>
              <w:top w:val="single" w:color="auto" w:sz="4" w:space="0"/>
              <w:left w:val="nil"/>
              <w:bottom w:val="single" w:color="auto" w:sz="4" w:space="0"/>
              <w:right w:val="single" w:color="auto" w:sz="4" w:space="0"/>
            </w:tcBorders>
            <w:vAlign w:val="center"/>
          </w:tcPr>
          <w:p w14:paraId="532EE2EA">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7C36945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对用人单位、继续教育机构执行《专业技术人员继续教育规定》的情况的监督检查</w:t>
            </w:r>
          </w:p>
        </w:tc>
        <w:tc>
          <w:tcPr>
            <w:tcW w:w="685" w:type="dxa"/>
            <w:tcBorders>
              <w:top w:val="single" w:color="auto" w:sz="4" w:space="0"/>
              <w:left w:val="nil"/>
              <w:bottom w:val="single" w:color="auto" w:sz="4" w:space="0"/>
              <w:right w:val="single" w:color="auto" w:sz="4" w:space="0"/>
            </w:tcBorders>
            <w:vAlign w:val="center"/>
          </w:tcPr>
          <w:p w14:paraId="1C46171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7BBFEA3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2576AD4E">
            <w:pPr>
              <w:widowControl/>
              <w:tabs>
                <w:tab w:val="left" w:pos="282"/>
              </w:tabs>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7209B4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【部门规章】《专业技术人员继续教育规定》（2015年8月13日人力资源社会保障部令第25号公布）第二十六条：人力资源社会保障行政部门应当依法对用人单位、继续教育机构执行本规定的情况进行监督检查。</w:t>
            </w:r>
          </w:p>
        </w:tc>
        <w:tc>
          <w:tcPr>
            <w:tcW w:w="2698" w:type="dxa"/>
            <w:tcBorders>
              <w:top w:val="single" w:color="auto" w:sz="4" w:space="0"/>
              <w:left w:val="nil"/>
              <w:bottom w:val="single" w:color="auto" w:sz="4" w:space="0"/>
              <w:right w:val="single" w:color="auto" w:sz="4" w:space="0"/>
            </w:tcBorders>
            <w:vAlign w:val="center"/>
          </w:tcPr>
          <w:p w14:paraId="221EB4B5">
            <w:pPr>
              <w:widowControl/>
              <w:adjustRightInd w:val="0"/>
              <w:snapToGrid w:val="0"/>
              <w:spacing w:line="300" w:lineRule="exact"/>
              <w:ind w:firstLine="400"/>
              <w:jc w:val="left"/>
              <w:rPr>
                <w:rFonts w:eastAsia="仿宋_GB2312" w:cs="仿宋_GB2312"/>
                <w:snapToGrid w:val="0"/>
                <w:sz w:val="20"/>
                <w:szCs w:val="20"/>
                <w:highlight w:val="none"/>
              </w:rPr>
            </w:pPr>
          </w:p>
          <w:p w14:paraId="2F3777B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6178CF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76AE7F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04E53915">
            <w:pPr>
              <w:pStyle w:val="2"/>
              <w:jc w:val="left"/>
              <w:rPr>
                <w:highlight w:val="none"/>
              </w:rPr>
            </w:pPr>
            <w:r>
              <w:rPr>
                <w:rFonts w:hint="eastAsia" w:eastAsia="仿宋_GB2312" w:cs="仿宋_GB2312"/>
                <w:snapToGrid w:val="0"/>
                <w:sz w:val="20"/>
                <w:szCs w:val="20"/>
                <w:highlight w:val="none"/>
              </w:rPr>
              <w:t>4.法律法规规章文件规定的其他应履行的责任。</w:t>
            </w:r>
          </w:p>
          <w:p w14:paraId="7EFA6307">
            <w:pPr>
              <w:pStyle w:val="3"/>
              <w:jc w:val="left"/>
              <w:rPr>
                <w:rFonts w:eastAsia="仿宋_GB2312" w:cs="仿宋_GB2312"/>
                <w:snapToGrid w:val="0"/>
                <w:sz w:val="20"/>
                <w:szCs w:val="20"/>
                <w:highlight w:val="none"/>
              </w:rPr>
            </w:pPr>
          </w:p>
        </w:tc>
        <w:tc>
          <w:tcPr>
            <w:tcW w:w="5244" w:type="dxa"/>
            <w:tcBorders>
              <w:top w:val="single" w:color="auto" w:sz="4" w:space="0"/>
              <w:left w:val="nil"/>
              <w:bottom w:val="single" w:color="auto" w:sz="4" w:space="0"/>
              <w:right w:val="single" w:color="auto" w:sz="4" w:space="0"/>
            </w:tcBorders>
            <w:vAlign w:val="center"/>
          </w:tcPr>
          <w:p w14:paraId="03165499">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1.【部门规章】</w:t>
            </w:r>
            <w:r>
              <w:rPr>
                <w:rFonts w:hint="eastAsia" w:eastAsia="仿宋_GB2312" w:cs="仿宋_GB2312"/>
                <w:snapToGrid w:val="0"/>
                <w:sz w:val="20"/>
                <w:szCs w:val="20"/>
                <w:highlight w:val="none"/>
              </w:rPr>
              <w:t>《专业技术人员继续教育规定》（2015年8月13日人力资源社会保障部令第25号公布）第二十六条人力资源社会保障行政部门应当依法对用人单位、继续教育机构执行本规定的情况进行监督检查。2.同1。</w:t>
            </w:r>
          </w:p>
          <w:p w14:paraId="69D60E7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D37CB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678D7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1AAA1E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09E487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CF604D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tc>
        <w:tc>
          <w:tcPr>
            <w:tcW w:w="1942" w:type="dxa"/>
            <w:tcBorders>
              <w:top w:val="single" w:color="auto" w:sz="4" w:space="0"/>
              <w:left w:val="nil"/>
              <w:bottom w:val="single" w:color="auto" w:sz="4" w:space="0"/>
              <w:right w:val="single" w:color="auto" w:sz="4" w:space="0"/>
            </w:tcBorders>
            <w:vAlign w:val="center"/>
          </w:tcPr>
          <w:p w14:paraId="756FFE3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因不履行或不正确履行职责,有下列情形的,应承担相应责任:</w:t>
            </w:r>
          </w:p>
          <w:p w14:paraId="07247E0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1.对符合法定条件的申请不予受理的；（机关纪委）</w:t>
            </w:r>
          </w:p>
          <w:p w14:paraId="2F1CC2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2.对符合法定条件的申请不予办理或者不在法定期限内办结的；（机关纪委）</w:t>
            </w:r>
          </w:p>
          <w:p w14:paraId="57B67CE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3.对不符合法定条件的核发证书或者超越职权核发证书的；（机关纪委）</w:t>
            </w:r>
          </w:p>
          <w:p w14:paraId="1A918B2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4.违反法定程序核发证书的；（机关纪委）</w:t>
            </w:r>
          </w:p>
          <w:p w14:paraId="1AE716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5.工作中玩忽职守、滥用职权的；（机关纪委）</w:t>
            </w:r>
          </w:p>
          <w:p w14:paraId="1207B8F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6.利用职务之便，索取或者收受他人财物的；（机关纪委）</w:t>
            </w:r>
          </w:p>
          <w:p w14:paraId="5ABCE6D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7.其他违反法律法规规章文件规定的。（机关纪委）</w:t>
            </w:r>
          </w:p>
        </w:tc>
        <w:tc>
          <w:tcPr>
            <w:tcW w:w="1942" w:type="dxa"/>
            <w:tcBorders>
              <w:top w:val="single" w:color="auto" w:sz="4" w:space="0"/>
              <w:left w:val="nil"/>
              <w:bottom w:val="single" w:color="auto" w:sz="4" w:space="0"/>
              <w:right w:val="single" w:color="auto" w:sz="4" w:space="0"/>
            </w:tcBorders>
            <w:vAlign w:val="center"/>
          </w:tcPr>
          <w:p w14:paraId="28334DB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1.【行政法规】《行政机关公务员处分条例》（2007年国务院令第495号）第二十二条  弄虚作假，误导、欺骗领导和公众，造成不良后果的，给予警告、记过或者记大过处分；情节较重的，给予降级或者撤职处分；情节严重的，给予开除处分。</w:t>
            </w:r>
          </w:p>
          <w:p w14:paraId="08B24CC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2.【行政法规】《行政机关公务员处分条例》（2007年国务院令第495号）第二十条  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w:t>
            </w:r>
          </w:p>
          <w:p w14:paraId="3B101C9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3.【行政法规】《行政机关公务员处分条例》（2007年国务院令第495号）第二十条  有下列行为之一的，给予记过、记大过处分；情节较重的，给予降级或者撤职处分；情节严重的，给予开除处分：（四）其他玩忽职守、贻误工作的行为。</w:t>
            </w:r>
          </w:p>
          <w:p w14:paraId="1335D26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4.【行政法规】《行政机关公务员处分条例》（2007年国务院令第495号）第二十三条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14:paraId="103AFF6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5.同3.</w:t>
            </w:r>
          </w:p>
          <w:p w14:paraId="3C75FCC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6.同4.</w:t>
            </w:r>
          </w:p>
        </w:tc>
        <w:tc>
          <w:tcPr>
            <w:tcW w:w="2130" w:type="dxa"/>
            <w:tcBorders>
              <w:top w:val="single" w:color="auto" w:sz="4" w:space="0"/>
              <w:left w:val="nil"/>
              <w:bottom w:val="single" w:color="auto" w:sz="4" w:space="0"/>
              <w:right w:val="single" w:color="auto" w:sz="4" w:space="0"/>
            </w:tcBorders>
            <w:vAlign w:val="center"/>
          </w:tcPr>
          <w:p w14:paraId="4385FD1F">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73D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4E099A6">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56</w:t>
            </w:r>
          </w:p>
        </w:tc>
        <w:tc>
          <w:tcPr>
            <w:tcW w:w="1060" w:type="dxa"/>
            <w:tcBorders>
              <w:top w:val="single" w:color="auto" w:sz="4" w:space="0"/>
              <w:left w:val="nil"/>
              <w:bottom w:val="single" w:color="auto" w:sz="4" w:space="0"/>
              <w:right w:val="single" w:color="auto" w:sz="4" w:space="0"/>
            </w:tcBorders>
            <w:vAlign w:val="center"/>
          </w:tcPr>
          <w:p w14:paraId="6DDFBEE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04A5393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对实施劳动合同制度的情况</w:t>
            </w:r>
            <w:r>
              <w:rPr>
                <w:rFonts w:hint="eastAsia" w:eastAsia="仿宋_GB2312" w:cs="仿宋_GB2312"/>
                <w:snapToGrid w:val="0"/>
                <w:sz w:val="20"/>
                <w:szCs w:val="20"/>
                <w:highlight w:val="none"/>
                <w:lang w:eastAsia="zh-CN"/>
              </w:rPr>
              <w:t>的</w:t>
            </w:r>
            <w:r>
              <w:rPr>
                <w:rFonts w:hint="eastAsia" w:eastAsia="仿宋_GB2312" w:cs="仿宋_GB2312"/>
                <w:snapToGrid w:val="0"/>
                <w:sz w:val="20"/>
                <w:szCs w:val="20"/>
                <w:highlight w:val="none"/>
              </w:rPr>
              <w:t>监督检查</w:t>
            </w:r>
          </w:p>
        </w:tc>
        <w:tc>
          <w:tcPr>
            <w:tcW w:w="685" w:type="dxa"/>
            <w:tcBorders>
              <w:top w:val="single" w:color="auto" w:sz="4" w:space="0"/>
              <w:left w:val="nil"/>
              <w:bottom w:val="single" w:color="auto" w:sz="4" w:space="0"/>
              <w:right w:val="single" w:color="auto" w:sz="4" w:space="0"/>
            </w:tcBorders>
            <w:vAlign w:val="center"/>
          </w:tcPr>
          <w:p w14:paraId="274249B0">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970B780">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0E60DE42">
            <w:pPr>
              <w:widowControl/>
              <w:adjustRightInd w:val="0"/>
              <w:snapToGrid w:val="0"/>
              <w:spacing w:line="300" w:lineRule="exact"/>
              <w:jc w:val="both"/>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DF31B7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劳动合同法》（2007年6月29日通过，2012年12月28日主席令第73号修正）第七十三条：国务院劳动行政部门负责全国劳动合同制度实施的监督管理。县级以上地方人民政府劳动行政部门负责本行政区域内劳动合同制度实施的监督管理。县级以上各级人民政府劳动行政部门在劳动合同制度实施的监督管理工作中，应当听取工会、企业方面代表以及有关行业主管部门的意见。</w:t>
            </w:r>
          </w:p>
          <w:p w14:paraId="337CE3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七十四条：县级以上地方人民政府劳动行政部门依法对下列实施劳动合同制度的情况进行监督检查：（一）用人单位制定直接涉及劳动者切身利益的规章制度及其执行的情况；（二）用人单位与劳动者订立和解除劳动合同的情况；（三）劳务派遣单位和用工单位遵守劳务派遣有关规定的情况；（四）用人单位遵守国家关于劳动者工作时间和休息休假规定的情况；（五）用人单位支付劳动合同约定的劳动报酬和执行最低工资标准的情况；（六）用人单位参加各项社会保险和缴纳社会保险费的情况；（七）法律、法规规定的其他劳动监察事项。</w:t>
            </w:r>
          </w:p>
        </w:tc>
        <w:tc>
          <w:tcPr>
            <w:tcW w:w="2698" w:type="dxa"/>
            <w:tcBorders>
              <w:top w:val="single" w:color="auto" w:sz="4" w:space="0"/>
              <w:left w:val="nil"/>
              <w:bottom w:val="single" w:color="auto" w:sz="4" w:space="0"/>
              <w:right w:val="single" w:color="auto" w:sz="4" w:space="0"/>
            </w:tcBorders>
            <w:vAlign w:val="center"/>
          </w:tcPr>
          <w:p w14:paraId="2F4B7C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1A19F41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1A2DF6D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4160FF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52394EB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七十三条：国务院劳动行政部门负责全国劳动合同制度实施的监督管理。县级以上地方人民政府劳动行政部门负责本行政区域内劳动合同制度实施的监督管理。县级以上各级人民政府劳动行政部门在劳动合同制度实施的监督管理工作中，应当听取工会、企业方面代表以及有关行业主管部门的意见。第七十四条：县级以上地方人民政府劳动行政部门依法对下列实施劳动合同制度的情况进行监督检查：（一）用人单位制定直接涉及劳动者切身利益的规章制度及其执行的情况；（二）用人单位与劳动者订立和解除劳动合同的情况；（三）劳务派遣单位和用工单位遵守劳务派遣有关规定的情况；（四）用人单位遵守</w:t>
            </w:r>
          </w:p>
          <w:p w14:paraId="4AA2300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单位遵守国家关于劳动者工作时间和休息休假规定的情况；（五）用人单位支付劳动合同约定的劳动报酬和执行最低工资标准的情况；（六）用人单位参加各项社会保险和缴纳社会保险费的情况；（七）法律、法规规定的其他劳动监察事项。</w:t>
            </w:r>
          </w:p>
          <w:p w14:paraId="240377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国家关于劳动者工作时间和休息休假规定的情况；（五）用人单位支付劳动合同约定的劳动报酬和执行最低工资标准的情况；（六）用人单位参加各项社会保险和缴纳社会保险费的情况；（七）法律、法规规定的其他劳动监察事项。</w:t>
            </w:r>
          </w:p>
          <w:p w14:paraId="4B72E92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w:t>
            </w:r>
          </w:p>
          <w:p w14:paraId="151F7E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11EA4CA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0E20825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6FD5E5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24D7D4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477009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08229268">
            <w:pPr>
              <w:pStyle w:val="2"/>
              <w:jc w:val="left"/>
              <w:rPr>
                <w:rFonts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6EA5A1F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0EA0A5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0B2A11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0646547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61733F8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44D4B0F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2ACC13C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8073B7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1-1.【法律】《中华人民共和国公务员法》第五十九条  公务员应当遵纪守法，不得有下列行为：……（十）滥用职权，侵害公民、法人或者其他组织的合法权益。</w:t>
            </w:r>
          </w:p>
          <w:p w14:paraId="3ECA4D6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0E58DC6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1-3.【部门规章】《社会保险基金行政监督办法》（2022年人力资源和社会保障部令第48号公布）第三十七条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p w14:paraId="7AF48D3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63C2BDB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0606275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5B6CCBC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4-1.【法律】《中华人民共和国社会保险法》（2010年10月28日通过，2018年12月29日修正）第九十三条　国家工作人员在社会保险管理、监督工作中滥用职权、玩忽职守、徇私舞弊的，依法给予处分。</w:t>
            </w:r>
          </w:p>
          <w:p w14:paraId="0EAB25A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4-2.【地方政府规章】《广西壮族自治区行政过错责任追究办法》（2007广西壮族自治区人民政府令第24号公布）第十一条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4B4AB8C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4-3.【部门规章】《社会保险基金行政监督办法》（2022年人力资源和社会保障部令第48号公布）第三十七条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p w14:paraId="7C22ADA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p w14:paraId="4277A01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6.【地方政府规章】《广西壮族自治区行政过错责任追究办法》（2007广西壮族自治区人民政府令第24号公布）第十一条  行政机关及其工作人员在实施行政监督检查过程中，有下列情形之一的，应当追究行政过错责任：……（六）其他违反行政监督检查规定的情形。</w:t>
            </w:r>
          </w:p>
        </w:tc>
        <w:tc>
          <w:tcPr>
            <w:tcW w:w="2130" w:type="dxa"/>
            <w:tcBorders>
              <w:top w:val="single" w:color="auto" w:sz="4" w:space="0"/>
              <w:left w:val="nil"/>
              <w:bottom w:val="single" w:color="auto" w:sz="4" w:space="0"/>
              <w:right w:val="single" w:color="auto" w:sz="4" w:space="0"/>
            </w:tcBorders>
            <w:vAlign w:val="center"/>
          </w:tcPr>
          <w:p w14:paraId="4267C365">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7591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FAF0D0A">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57</w:t>
            </w:r>
          </w:p>
        </w:tc>
        <w:tc>
          <w:tcPr>
            <w:tcW w:w="1060" w:type="dxa"/>
            <w:tcBorders>
              <w:top w:val="single" w:color="auto" w:sz="4" w:space="0"/>
              <w:left w:val="nil"/>
              <w:bottom w:val="single" w:color="auto" w:sz="4" w:space="0"/>
              <w:right w:val="single" w:color="auto" w:sz="4" w:space="0"/>
            </w:tcBorders>
            <w:vAlign w:val="center"/>
          </w:tcPr>
          <w:p w14:paraId="0658B3D2">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2E1DD9E9">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对用人单位遵守《就业促进法》情况的监督检查</w:t>
            </w:r>
          </w:p>
        </w:tc>
        <w:tc>
          <w:tcPr>
            <w:tcW w:w="685" w:type="dxa"/>
            <w:tcBorders>
              <w:top w:val="single" w:color="auto" w:sz="4" w:space="0"/>
              <w:left w:val="nil"/>
              <w:bottom w:val="single" w:color="auto" w:sz="4" w:space="0"/>
              <w:right w:val="single" w:color="auto" w:sz="4" w:space="0"/>
            </w:tcBorders>
            <w:vAlign w:val="center"/>
          </w:tcPr>
          <w:p w14:paraId="077425B8">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1EED2510">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56837D6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2D1A61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法律】《中华人民共和国就业促进法》（2007年8月30日主席令第70号通过，2015年4月24日修正）第六十条：劳动行政部门应当对本法实施情况进行监督检查，建立举报制度，受理对违反本法行为的举报，并及时予以核实处理。</w:t>
            </w:r>
          </w:p>
        </w:tc>
        <w:tc>
          <w:tcPr>
            <w:tcW w:w="2698" w:type="dxa"/>
            <w:tcBorders>
              <w:top w:val="single" w:color="auto" w:sz="4" w:space="0"/>
              <w:left w:val="nil"/>
              <w:bottom w:val="single" w:color="auto" w:sz="4" w:space="0"/>
              <w:right w:val="single" w:color="auto" w:sz="4" w:space="0"/>
            </w:tcBorders>
            <w:vAlign w:val="center"/>
          </w:tcPr>
          <w:p w14:paraId="255E763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273749F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201615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74757A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6682E9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就业促进法》（2007年8月30日主席令第70号通过，2015年4月24日修正）第六十条：“劳动行政部门应当对本法实施情况进行监督检查，建立举报制度，受理对违反本法行为的举报，并及时予以核实处理。”</w:t>
            </w:r>
          </w:p>
          <w:p w14:paraId="4AF5EC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2.同1。 </w:t>
            </w:r>
          </w:p>
          <w:p w14:paraId="6B8CB1D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12D6C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7D5775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1D3CF35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57D55A6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3768BE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tc>
        <w:tc>
          <w:tcPr>
            <w:tcW w:w="1942" w:type="dxa"/>
            <w:tcBorders>
              <w:top w:val="single" w:color="auto" w:sz="4" w:space="0"/>
              <w:left w:val="nil"/>
              <w:bottom w:val="single" w:color="auto" w:sz="4" w:space="0"/>
              <w:right w:val="single" w:color="auto" w:sz="4" w:space="0"/>
            </w:tcBorders>
            <w:vAlign w:val="center"/>
          </w:tcPr>
          <w:p w14:paraId="4E0370E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2452B0A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2326F53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07321DE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0EE7191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095EE27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145129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1155E6C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1-1.【法律】《中华人民共和国公务员法》第五十九条  公务员应当遵纪守法，不得有下列行为：……（十）滥用职权，侵害公民、法人或者其他组织的合法权益。</w:t>
            </w:r>
          </w:p>
          <w:p w14:paraId="231FB37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6FB31D4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75E51CE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6E8FB46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0BF228FD">
            <w:pPr>
              <w:widowControl/>
              <w:adjustRightInd w:val="0"/>
              <w:snapToGrid w:val="0"/>
              <w:spacing w:line="300" w:lineRule="exact"/>
              <w:jc w:val="left"/>
              <w:rPr>
                <w:rFonts w:hint="eastAsia" w:eastAsia="仿宋_GB2312" w:cs="仿宋_GB2312"/>
                <w:snapToGrid w:val="0"/>
                <w:sz w:val="20"/>
                <w:szCs w:val="20"/>
                <w:highlight w:val="none"/>
              </w:rPr>
            </w:pPr>
          </w:p>
          <w:p w14:paraId="71E4F0A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48D91C5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p w14:paraId="3216852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6.【地方政府规章】《广西壮族自治区行政过错责任追究办法》（2007广西壮族自治区人民政府令第24号公布）第十一条  行政机关及其工作人员在实施行政监督检查过程中，有下列情形之一的，应当追究行政过错责任：……（六）其他违反行政监督检查规定的情形。</w:t>
            </w:r>
          </w:p>
        </w:tc>
        <w:tc>
          <w:tcPr>
            <w:tcW w:w="2130" w:type="dxa"/>
            <w:tcBorders>
              <w:top w:val="single" w:color="auto" w:sz="4" w:space="0"/>
              <w:left w:val="nil"/>
              <w:bottom w:val="single" w:color="auto" w:sz="4" w:space="0"/>
              <w:right w:val="single" w:color="auto" w:sz="4" w:space="0"/>
            </w:tcBorders>
            <w:vAlign w:val="center"/>
          </w:tcPr>
          <w:p w14:paraId="124F5307">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B0F5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1C09937">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58</w:t>
            </w:r>
          </w:p>
        </w:tc>
        <w:tc>
          <w:tcPr>
            <w:tcW w:w="1060" w:type="dxa"/>
            <w:tcBorders>
              <w:top w:val="single" w:color="auto" w:sz="4" w:space="0"/>
              <w:left w:val="nil"/>
              <w:bottom w:val="single" w:color="auto" w:sz="4" w:space="0"/>
              <w:right w:val="single" w:color="auto" w:sz="4" w:space="0"/>
            </w:tcBorders>
            <w:vAlign w:val="center"/>
          </w:tcPr>
          <w:p w14:paraId="7D709DE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71B826D7">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对集体合同、专项集体合同签订、履行情况的监督检查</w:t>
            </w:r>
          </w:p>
        </w:tc>
        <w:tc>
          <w:tcPr>
            <w:tcW w:w="685" w:type="dxa"/>
            <w:tcBorders>
              <w:top w:val="single" w:color="auto" w:sz="4" w:space="0"/>
              <w:left w:val="nil"/>
              <w:bottom w:val="single" w:color="auto" w:sz="4" w:space="0"/>
              <w:right w:val="single" w:color="auto" w:sz="4" w:space="0"/>
            </w:tcBorders>
            <w:vAlign w:val="center"/>
          </w:tcPr>
          <w:p w14:paraId="144DD441">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5151822D">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EC4F5C4">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E5F936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集体合同规定》（2004年1月20日劳动保障部令第22号公布）第七条：县级以上劳动保障行政部门对本行政区域内用人单位与本单位职工开展集体协商、签订、履行集体合同的情况进行监督，并负责审查集体合同或者专项集体合同。</w:t>
            </w:r>
          </w:p>
          <w:p w14:paraId="788D88E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2.【部门规章】《工资集体协商试行办法》（2000年11月8日劳动保障部令第9号公布）第六条：县级以上劳动保障行政部门依法对工资协议进行审查，对协议的履行情况进行监督检查。</w:t>
            </w:r>
          </w:p>
        </w:tc>
        <w:tc>
          <w:tcPr>
            <w:tcW w:w="2698" w:type="dxa"/>
            <w:tcBorders>
              <w:top w:val="single" w:color="auto" w:sz="4" w:space="0"/>
              <w:left w:val="nil"/>
              <w:bottom w:val="single" w:color="auto" w:sz="4" w:space="0"/>
              <w:right w:val="single" w:color="auto" w:sz="4" w:space="0"/>
            </w:tcBorders>
            <w:vAlign w:val="center"/>
          </w:tcPr>
          <w:p w14:paraId="319B7F8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 1.告知责任: 向行政相对人送达行政检查通知，告知检查依据、涉及事项、检查时间及需提前准备资料等事项。</w:t>
            </w:r>
          </w:p>
          <w:p w14:paraId="6482B7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6BCC58C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6F02DA5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E23689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1.【部门规章】《集体合同规定》（2004年1月20日劳动保障部</w:t>
            </w:r>
          </w:p>
          <w:p w14:paraId="5D41D4D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令第22号公布）第七条：县级以上劳动保障行政部门对本行政区域内用人单位与本单位职工开展集体协商、签订、履行集体合同的情况进行监督，并负责审查集体合同或者专项集体合同。</w:t>
            </w:r>
          </w:p>
          <w:p w14:paraId="0DCCAB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w:t>
            </w:r>
          </w:p>
          <w:p w14:paraId="7563F6F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31E533D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0B51F2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292F54D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6E51190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05AD075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tc>
        <w:tc>
          <w:tcPr>
            <w:tcW w:w="1942" w:type="dxa"/>
            <w:tcBorders>
              <w:top w:val="single" w:color="auto" w:sz="4" w:space="0"/>
              <w:left w:val="nil"/>
              <w:bottom w:val="single" w:color="auto" w:sz="4" w:space="0"/>
              <w:right w:val="single" w:color="auto" w:sz="4" w:space="0"/>
            </w:tcBorders>
            <w:vAlign w:val="center"/>
          </w:tcPr>
          <w:p w14:paraId="2DA340E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234B6B9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5494E66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5736463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4C345E8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1CA9D4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15280F0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201C75E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1-1.【法律】《中华人民共和国公务员法》第五十九条  公务员应当遵纪守法，不得有下列行为：……（十）滥用职权，侵害公民、法人或者其他组织的合法权益。</w:t>
            </w:r>
          </w:p>
          <w:p w14:paraId="703E6C2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60E1337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1-3.【部门规章】《社会保险基金行政监督办法》（2022年人力资源和社会保障部令第48号公布）第三十七条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p w14:paraId="6925E1A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322DE3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144C58A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5413C04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09E104E0">
            <w:pPr>
              <w:widowControl/>
              <w:adjustRightInd w:val="0"/>
              <w:snapToGrid w:val="0"/>
              <w:spacing w:line="300" w:lineRule="exact"/>
              <w:jc w:val="left"/>
              <w:rPr>
                <w:rFonts w:hint="eastAsia" w:eastAsia="仿宋_GB2312" w:cs="仿宋_GB2312"/>
                <w:snapToGrid w:val="0"/>
                <w:sz w:val="20"/>
                <w:szCs w:val="20"/>
                <w:highlight w:val="none"/>
              </w:rPr>
            </w:pPr>
          </w:p>
          <w:p w14:paraId="6C731C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p w14:paraId="5530DC0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6.【地方政府规章】《广西壮族自治区行政过错责任追究办法》（2007广西壮族自治区人民政府令第24号公布）第十一条  行政机关及其工作人员在实施行政监督检查过程中，有下列情形之一的，应当追究行政过错责任：……（六）其他违反行政监督检查规定的情形。</w:t>
            </w:r>
          </w:p>
        </w:tc>
        <w:tc>
          <w:tcPr>
            <w:tcW w:w="2130" w:type="dxa"/>
            <w:tcBorders>
              <w:top w:val="single" w:color="auto" w:sz="4" w:space="0"/>
              <w:left w:val="nil"/>
              <w:bottom w:val="single" w:color="auto" w:sz="4" w:space="0"/>
              <w:right w:val="single" w:color="auto" w:sz="4" w:space="0"/>
            </w:tcBorders>
            <w:vAlign w:val="center"/>
          </w:tcPr>
          <w:p w14:paraId="541FFEC2">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5FA63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6539880B">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59</w:t>
            </w:r>
          </w:p>
        </w:tc>
        <w:tc>
          <w:tcPr>
            <w:tcW w:w="1060" w:type="dxa"/>
            <w:tcBorders>
              <w:top w:val="single" w:color="auto" w:sz="4" w:space="0"/>
              <w:left w:val="nil"/>
              <w:bottom w:val="single" w:color="auto" w:sz="4" w:space="0"/>
              <w:right w:val="single" w:color="auto" w:sz="4" w:space="0"/>
            </w:tcBorders>
            <w:vAlign w:val="center"/>
          </w:tcPr>
          <w:p w14:paraId="4A5AC99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644016A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对遵守劳务派遣相关规定的监督检查</w:t>
            </w:r>
          </w:p>
        </w:tc>
        <w:tc>
          <w:tcPr>
            <w:tcW w:w="685" w:type="dxa"/>
            <w:tcBorders>
              <w:top w:val="single" w:color="auto" w:sz="4" w:space="0"/>
              <w:left w:val="nil"/>
              <w:bottom w:val="single" w:color="auto" w:sz="4" w:space="0"/>
              <w:right w:val="single" w:color="auto" w:sz="4" w:space="0"/>
            </w:tcBorders>
            <w:vAlign w:val="center"/>
          </w:tcPr>
          <w:p w14:paraId="6F629CFF">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E62E1EF">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2CB2535">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246D5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七十四条：县级以上地方人民政府劳动行政部门依法对下列实施劳动合同制度的情况进行监督检查：（三）劳务派遣单位和用工单位遵守劳务派遣有关规定的情</w:t>
            </w:r>
          </w:p>
          <w:p w14:paraId="5440D28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况；</w:t>
            </w:r>
          </w:p>
          <w:p w14:paraId="3AA1D8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劳务派遣行政许可实施办法》（2013年6月20日人力资源社会保障部令第19号）第三条：人力资源社会保障部负责对全国的劳务派遣行政许可工作进行监督指导。县级以上地方人力资源社会保障行政部门按照省、自治区、直辖市人力资源社会保障行政部门确定的许可管辖分工，负责实施本行政区域内劳务派遣</w:t>
            </w:r>
          </w:p>
          <w:p w14:paraId="4AEADF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行政许可工作以及相关的监督检查。</w:t>
            </w:r>
          </w:p>
        </w:tc>
        <w:tc>
          <w:tcPr>
            <w:tcW w:w="2698" w:type="dxa"/>
            <w:tcBorders>
              <w:top w:val="single" w:color="auto" w:sz="4" w:space="0"/>
              <w:left w:val="nil"/>
              <w:bottom w:val="single" w:color="auto" w:sz="4" w:space="0"/>
              <w:right w:val="single" w:color="auto" w:sz="4" w:space="0"/>
            </w:tcBorders>
            <w:vAlign w:val="center"/>
          </w:tcPr>
          <w:p w14:paraId="15A03DB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2D74FEE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1B9A664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2EDBE09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1AD6028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七十四条：县级以上地方人民政府劳动行政部门依法对下列实施劳动合同制度的情况进行监督检查：（三）劳务派遣单位和用工单位遵守劳务派遣有关规定的情况；</w:t>
            </w:r>
          </w:p>
          <w:p w14:paraId="6AFF029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2.【法律】《中华人民共和国行政许可法》（2003年8月27日通过，2019年4月23日修正）第三十四条：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w:t>
            </w:r>
          </w:p>
          <w:p w14:paraId="68BB17E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人员进行核查。</w:t>
            </w:r>
          </w:p>
          <w:p w14:paraId="473BFE4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0752CE9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3AB8848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769964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07DDD19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1654D6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tc>
        <w:tc>
          <w:tcPr>
            <w:tcW w:w="1942" w:type="dxa"/>
            <w:tcBorders>
              <w:top w:val="single" w:color="auto" w:sz="4" w:space="0"/>
              <w:left w:val="nil"/>
              <w:bottom w:val="single" w:color="auto" w:sz="4" w:space="0"/>
              <w:right w:val="single" w:color="auto" w:sz="4" w:space="0"/>
            </w:tcBorders>
            <w:vAlign w:val="center"/>
          </w:tcPr>
          <w:p w14:paraId="3C6A1DA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654C7D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75F2EEF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2E4F66A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190EEC2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434043B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0AFA9D9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7A63B34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1-1.【法律】《中华人民共和国公务员法》第五十九条  公务员应当遵纪守法，不得有下列行为：……（十）滥用职权，侵害公民、法人或者其他组织的合法权益。</w:t>
            </w:r>
          </w:p>
          <w:p w14:paraId="642F602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585495D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0AA3515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2634B34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3E857F4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2C752226">
            <w:pPr>
              <w:widowControl/>
              <w:adjustRightInd w:val="0"/>
              <w:snapToGrid w:val="0"/>
              <w:spacing w:line="300" w:lineRule="exact"/>
              <w:jc w:val="left"/>
              <w:rPr>
                <w:rFonts w:hint="eastAsia" w:eastAsia="仿宋_GB2312" w:cs="仿宋_GB2312"/>
                <w:snapToGrid w:val="0"/>
                <w:sz w:val="20"/>
                <w:szCs w:val="20"/>
                <w:highlight w:val="none"/>
              </w:rPr>
            </w:pPr>
          </w:p>
          <w:p w14:paraId="5A7F9E8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p w14:paraId="4A2F8C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6.【地方政府规章】《广西壮族自治区行政过错责任追究办法》（2007广西壮族自治区人民政府令第24号公布）第十一条  行政机关及其工作人员在实施行政监督检查过程中，有下列情形之一的，应当追究行政过错责任：……（六）其他违反行政监督检查规定的情形。</w:t>
            </w:r>
          </w:p>
        </w:tc>
        <w:tc>
          <w:tcPr>
            <w:tcW w:w="2130" w:type="dxa"/>
            <w:tcBorders>
              <w:top w:val="single" w:color="auto" w:sz="4" w:space="0"/>
              <w:left w:val="nil"/>
              <w:bottom w:val="single" w:color="auto" w:sz="4" w:space="0"/>
              <w:right w:val="single" w:color="auto" w:sz="4" w:space="0"/>
            </w:tcBorders>
            <w:vAlign w:val="center"/>
          </w:tcPr>
          <w:p w14:paraId="537EA0BD">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23001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887B4CD">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60</w:t>
            </w:r>
          </w:p>
        </w:tc>
        <w:tc>
          <w:tcPr>
            <w:tcW w:w="1060" w:type="dxa"/>
            <w:tcBorders>
              <w:top w:val="single" w:color="auto" w:sz="4" w:space="0"/>
              <w:left w:val="nil"/>
              <w:bottom w:val="single" w:color="auto" w:sz="4" w:space="0"/>
              <w:right w:val="single" w:color="auto" w:sz="4" w:space="0"/>
            </w:tcBorders>
            <w:vAlign w:val="center"/>
          </w:tcPr>
          <w:p w14:paraId="0033D96E">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78EAE1F6">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对人力资源服务机构的监督检查</w:t>
            </w:r>
          </w:p>
        </w:tc>
        <w:tc>
          <w:tcPr>
            <w:tcW w:w="685" w:type="dxa"/>
            <w:tcBorders>
              <w:top w:val="single" w:color="auto" w:sz="4" w:space="0"/>
              <w:left w:val="nil"/>
              <w:bottom w:val="single" w:color="auto" w:sz="4" w:space="0"/>
              <w:right w:val="single" w:color="auto" w:sz="4" w:space="0"/>
            </w:tcBorders>
            <w:vAlign w:val="center"/>
          </w:tcPr>
          <w:p w14:paraId="6E4507B2">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478E2C8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5900835">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宋体"/>
                <w:snapToGrid w:val="0"/>
                <w:szCs w:val="21"/>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73BD7C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人力资源市场暂行条例》（2018年6月29日国务院令第700号公布）第三十四条：人力资源社会保障行政部门对经营性人力资源服务机构实施监督检查，可以采取下列措施：（一）进入被检查单位进行检查；（二）询问有关人员，查阅服务台账等服务信息档案；（三）要求被检查单位提供与检查事项相关的文件资料，并作出解释和说明；（四）采取记录、录音、录像、照相或者复制等方式收集有关情况和资料；（五）法律、法规规定的其他措施。人力资源社会保障行政部门实施监督检查时，监督检查人员不得少于2人，应当出示执法证件，并对被检查单位的商业秘密予以保密。对人力资源社会保障行政部门依法进行的监督检查，被检查单位应当配合，如实提供相关资料和信息，不得隐瞒、拒绝、阻碍。</w:t>
            </w:r>
          </w:p>
          <w:p w14:paraId="503E2D8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部门规章】《就业服务与就业管理规定》（2007年11月5日劳动保障部令第28号，2022年1月7日第四次修订）第五十三条：职业中介机构应当在服务场所明示营业执照、职业中介许可证、服务项目、收费标准、监督机关名称和监督电话等，并接受劳动保障行政部门及其他有关部门的监督检查。</w:t>
            </w:r>
          </w:p>
          <w:p w14:paraId="64E155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第五十四条：职业中介机构应当建立服务台账，记录服务对象、服务过程、服务结果和收费情况等，并接受劳动保障行政部门的监督检查。</w:t>
            </w:r>
          </w:p>
          <w:p w14:paraId="6B49AF5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地方性法规】《广西壮族自治区人力资源市场条例》（2022年3月24日广西第十三届人大常委会第二十八次会议通过）第三十七条：经营性人力资源服务机构应当在服务场所显著位置明示营业执照、服务项目、收费标准、监督机关和监督电话，并接受人力资源社会保障、市场监督管理等部门的监督检查。从事职业中介活动的，还应当在服务场所明示人力资源服务许可证；</w:t>
            </w:r>
          </w:p>
          <w:p w14:paraId="13F8E0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四十四条：县级以上人民政府人力资源社会保障行政部门应当按照有关规定，加强对公共人力资源服务机构的监督管理，督促其履行人力资源公共服务职能，提高公共服务质量和水平。监督检查的有关情况应当及时向社会公布。</w:t>
            </w:r>
          </w:p>
        </w:tc>
        <w:tc>
          <w:tcPr>
            <w:tcW w:w="2698" w:type="dxa"/>
            <w:tcBorders>
              <w:top w:val="single" w:color="auto" w:sz="4" w:space="0"/>
              <w:left w:val="nil"/>
              <w:bottom w:val="single" w:color="auto" w:sz="4" w:space="0"/>
              <w:right w:val="single" w:color="auto" w:sz="4" w:space="0"/>
            </w:tcBorders>
            <w:vAlign w:val="center"/>
          </w:tcPr>
          <w:p w14:paraId="67A5EC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4144CA1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51B9BF0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6B56FE6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33D393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行政法规】《人力资源市场暂行条例》（2018年6月29日国务院令第700号公布）第三十四条：人力资源社会保障行政部门对经营性人力资源服务机构实施监督检查，可以采取下列措施：（一）进入被检查单位进行检查；（二）询问有关人员，查阅服务台账等服务信息档案；（三）要求被检查单位提供与检查事项相关的文件资料，并作出解释和说明；（四）采取记录、录音、录像、照相或者复制等方式收集有关情况和资料；（五）法律、法规规定的其他措施。人力资源社会保障行政部门实施监督检查时，监督检查人员不得少于2人，应当出示执法证件，并对被检查单位的商业秘密予以保密。对人力资源社会保障行政部门依法进行的监督检查，被检查单位应当配合，如实提供相关资料和信息，不得隐瞒、拒绝、阻碍。</w:t>
            </w:r>
          </w:p>
          <w:p w14:paraId="029176DE">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2.【法律】《中华人民共和国行政许可法》（2003年8月27日通过，2019年4月23日修正）第三十四条：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14:paraId="1C96E6E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7D8E93B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645CA90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5C7415F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795BB6D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7C1E2C6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p w14:paraId="1522012B">
            <w:pPr>
              <w:widowControl/>
              <w:adjustRightInd w:val="0"/>
              <w:snapToGrid w:val="0"/>
              <w:spacing w:line="300" w:lineRule="exact"/>
              <w:jc w:val="left"/>
              <w:rPr>
                <w:rFonts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69E0E7C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162CAFA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7EBEFF5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351F256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313867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22D0ADC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5BADB0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00E0D57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1-1.【法律】《中华人民共和国公务员法》第五十九条  公务员应当遵纪守法，不得有下列行为：……（十）滥用职权，侵害公民、法人或者其他组织的合法权益。</w:t>
            </w:r>
          </w:p>
          <w:p w14:paraId="0EA9FCD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1-2.【地方政府规章】《广西壮族自治区行政过错责任追究办法》（2007广西壮族自治区人民政府令第24号公布）第十一条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5F32316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2E52409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10051AC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77ABC99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13524A7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p w14:paraId="3B18D14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6.【地方政府规章】《广西壮族自治区行政过错责任追究办法》（2007广西壮族自治区人民政府令第24号公布）第十一条  行政机关及其工作人员在实施行政监督检查过程中，有下列情形之一的，应当追究行政过错责任：……（六）其他违反行政监督检查规定的情形。</w:t>
            </w:r>
          </w:p>
        </w:tc>
        <w:tc>
          <w:tcPr>
            <w:tcW w:w="2130" w:type="dxa"/>
            <w:tcBorders>
              <w:top w:val="single" w:color="auto" w:sz="4" w:space="0"/>
              <w:left w:val="nil"/>
              <w:bottom w:val="single" w:color="auto" w:sz="4" w:space="0"/>
              <w:right w:val="single" w:color="auto" w:sz="4" w:space="0"/>
            </w:tcBorders>
            <w:vAlign w:val="center"/>
          </w:tcPr>
          <w:p w14:paraId="6306FE60">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74D4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31056EEF">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61</w:t>
            </w:r>
          </w:p>
        </w:tc>
        <w:tc>
          <w:tcPr>
            <w:tcW w:w="1060" w:type="dxa"/>
            <w:tcBorders>
              <w:top w:val="single" w:color="auto" w:sz="4" w:space="0"/>
              <w:left w:val="nil"/>
              <w:bottom w:val="single" w:color="auto" w:sz="4" w:space="0"/>
              <w:right w:val="single" w:color="auto" w:sz="4" w:space="0"/>
            </w:tcBorders>
            <w:vAlign w:val="center"/>
          </w:tcPr>
          <w:p w14:paraId="41F5D976">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39BD40BF">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对民办学校的监督检查</w:t>
            </w:r>
          </w:p>
          <w:p w14:paraId="6556B217">
            <w:pPr>
              <w:widowControl/>
              <w:adjustRightInd w:val="0"/>
              <w:snapToGrid w:val="0"/>
              <w:spacing w:line="300" w:lineRule="exact"/>
              <w:jc w:val="center"/>
              <w:rPr>
                <w:rFonts w:eastAsia="仿宋_GB2312" w:cs="仿宋_GB2312"/>
                <w:snapToGrid w:val="0"/>
                <w:sz w:val="20"/>
                <w:szCs w:val="20"/>
                <w:highlight w:val="none"/>
              </w:rPr>
            </w:pPr>
          </w:p>
        </w:tc>
        <w:tc>
          <w:tcPr>
            <w:tcW w:w="685" w:type="dxa"/>
            <w:tcBorders>
              <w:top w:val="single" w:color="auto" w:sz="4" w:space="0"/>
              <w:left w:val="nil"/>
              <w:bottom w:val="single" w:color="auto" w:sz="4" w:space="0"/>
              <w:right w:val="single" w:color="auto" w:sz="4" w:space="0"/>
            </w:tcBorders>
            <w:vAlign w:val="center"/>
          </w:tcPr>
          <w:p w14:paraId="4A93DFF7">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58D5BE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F900F8B">
            <w:pPr>
              <w:widowControl/>
              <w:adjustRightInd w:val="0"/>
              <w:snapToGrid w:val="0"/>
              <w:spacing w:line="300" w:lineRule="exact"/>
              <w:jc w:val="both"/>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0E818F2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1.【法律】《中华人民共和国民办教育促进法》（</w:t>
            </w:r>
            <w:r>
              <w:rPr>
                <w:rFonts w:eastAsia="仿宋_GB2312" w:cs="仿宋_GB2312"/>
                <w:snapToGrid w:val="0"/>
                <w:sz w:val="20"/>
                <w:szCs w:val="20"/>
                <w:highlight w:val="none"/>
              </w:rPr>
              <w:t>2002</w:t>
            </w:r>
            <w:r>
              <w:rPr>
                <w:rFonts w:hint="eastAsia" w:eastAsia="仿宋_GB2312" w:cs="仿宋_GB2312"/>
                <w:snapToGrid w:val="0"/>
                <w:sz w:val="20"/>
                <w:szCs w:val="20"/>
                <w:highlight w:val="none"/>
              </w:rPr>
              <w:t>年</w:t>
            </w:r>
            <w:r>
              <w:rPr>
                <w:rFonts w:eastAsia="仿宋_GB2312" w:cs="仿宋_GB2312"/>
                <w:snapToGrid w:val="0"/>
                <w:sz w:val="20"/>
                <w:szCs w:val="20"/>
                <w:highlight w:val="none"/>
              </w:rPr>
              <w:t>12</w:t>
            </w:r>
            <w:r>
              <w:rPr>
                <w:rFonts w:hint="eastAsia" w:eastAsia="仿宋_GB2312" w:cs="仿宋_GB2312"/>
                <w:snapToGrid w:val="0"/>
                <w:sz w:val="20"/>
                <w:szCs w:val="20"/>
                <w:highlight w:val="none"/>
              </w:rPr>
              <w:t>月</w:t>
            </w:r>
            <w:r>
              <w:rPr>
                <w:rFonts w:eastAsia="仿宋_GB2312" w:cs="仿宋_GB2312"/>
                <w:snapToGrid w:val="0"/>
                <w:sz w:val="20"/>
                <w:szCs w:val="20"/>
                <w:highlight w:val="none"/>
              </w:rPr>
              <w:t>28</w:t>
            </w:r>
            <w:r>
              <w:rPr>
                <w:rFonts w:hint="eastAsia" w:eastAsia="仿宋_GB2312" w:cs="仿宋_GB2312"/>
                <w:snapToGrid w:val="0"/>
                <w:sz w:val="20"/>
                <w:szCs w:val="20"/>
                <w:highlight w:val="none"/>
              </w:rPr>
              <w:t>日通过，</w:t>
            </w:r>
            <w:r>
              <w:rPr>
                <w:rFonts w:eastAsia="仿宋_GB2312" w:cs="仿宋_GB2312"/>
                <w:snapToGrid w:val="0"/>
                <w:sz w:val="20"/>
                <w:szCs w:val="20"/>
                <w:highlight w:val="none"/>
              </w:rPr>
              <w:t>2018</w:t>
            </w:r>
            <w:r>
              <w:rPr>
                <w:rFonts w:hint="eastAsia" w:eastAsia="仿宋_GB2312" w:cs="仿宋_GB2312"/>
                <w:snapToGrid w:val="0"/>
                <w:sz w:val="20"/>
                <w:szCs w:val="20"/>
                <w:highlight w:val="none"/>
              </w:rPr>
              <w:t>年</w:t>
            </w:r>
            <w:r>
              <w:rPr>
                <w:rFonts w:eastAsia="仿宋_GB2312" w:cs="仿宋_GB2312"/>
                <w:snapToGrid w:val="0"/>
                <w:sz w:val="20"/>
                <w:szCs w:val="20"/>
                <w:highlight w:val="none"/>
              </w:rPr>
              <w:t>12</w:t>
            </w:r>
            <w:r>
              <w:rPr>
                <w:rFonts w:hint="eastAsia" w:eastAsia="仿宋_GB2312" w:cs="仿宋_GB2312"/>
                <w:snapToGrid w:val="0"/>
                <w:sz w:val="20"/>
                <w:szCs w:val="20"/>
                <w:highlight w:val="none"/>
              </w:rPr>
              <w:t>月</w:t>
            </w:r>
            <w:r>
              <w:rPr>
                <w:rFonts w:eastAsia="仿宋_GB2312" w:cs="仿宋_GB2312"/>
                <w:snapToGrid w:val="0"/>
                <w:sz w:val="20"/>
                <w:szCs w:val="20"/>
                <w:highlight w:val="none"/>
              </w:rPr>
              <w:t>29</w:t>
            </w:r>
            <w:r>
              <w:rPr>
                <w:rFonts w:hint="eastAsia" w:eastAsia="仿宋_GB2312" w:cs="仿宋_GB2312"/>
                <w:snapToGrid w:val="0"/>
                <w:sz w:val="20"/>
                <w:szCs w:val="20"/>
                <w:highlight w:val="none"/>
              </w:rPr>
              <w:t>日主席令第</w:t>
            </w:r>
            <w:r>
              <w:rPr>
                <w:rFonts w:eastAsia="仿宋_GB2312" w:cs="仿宋_GB2312"/>
                <w:snapToGrid w:val="0"/>
                <w:sz w:val="20"/>
                <w:szCs w:val="20"/>
                <w:highlight w:val="none"/>
              </w:rPr>
              <w:t>24</w:t>
            </w:r>
            <w:r>
              <w:rPr>
                <w:rFonts w:hint="eastAsia" w:eastAsia="仿宋_GB2312" w:cs="仿宋_GB2312"/>
                <w:snapToGrid w:val="0"/>
                <w:sz w:val="20"/>
                <w:szCs w:val="20"/>
                <w:highlight w:val="none"/>
              </w:rPr>
              <w:t xml:space="preserve">号第三次修正）第八条：县级以上地方各级人民政府劳动和社会保障行政部门及其他有关部门在各自的职责范围内，分别负责有关的民办教育工作。  </w:t>
            </w:r>
          </w:p>
          <w:p w14:paraId="47AD225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第四十一条：教育行政部门及有关部门依法对民办学校实行督导，建立民办学校信息公示和信用档案制度，促进提高办学质量；组织或者委托社会中介组织评估办学水平和教育质量，并将评估结果向社会公布。</w:t>
            </w:r>
          </w:p>
          <w:p w14:paraId="47B6D3B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民办教育促进法实施条例》（2004年3月5日国务院令第399号，2021年4月7日国务院令第741号修订）第四十七条：……教育、人力资源社会保障、民政、市场监督管理等部门应当根据职责会同有关部门建立民办学校年度检查和年度报告制度，健全日常监管机制。教育行政部门、人力资源社会保障行政部门及有关部门应当建立民办学校信用档案和举办者、校长执业信用制度，对民办学校进行执法监督的情况和处罚、处理结果应当予以记录，由执法、监督人员签字后归档，并依法依规公开执法监督结果……。</w:t>
            </w:r>
          </w:p>
          <w:p w14:paraId="4641F0C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第四十八条：审批机关应当及时公开民办学校举办者情况、办学条件等审批信息。</w:t>
            </w:r>
          </w:p>
          <w:p w14:paraId="0CD0170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教育行政部门、人力资源社会保障行政部门应当依据职责分工，定期组织或者委托第三方机构对民办学校的办学水平和教育质量进行评估，评估结果应当向社会公开。</w:t>
            </w:r>
          </w:p>
          <w:p w14:paraId="28DE70E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第四十九条：教育行政部门及有关部门应当制定实施学前教育、学历教育民办学校的信息公示清单，监督民办学校定期向社会公开办学条件、教育质量等有关信息。</w:t>
            </w:r>
          </w:p>
          <w:p w14:paraId="70483D7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营利性民办学校应当通过全国信用信息共享平台、国家企业信用信息公示系统公示相关信息。</w:t>
            </w:r>
          </w:p>
          <w:p w14:paraId="72D14FA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有关部门应当支持和鼓励民办学校依法建立行业组织，研究制定相应的质量标准，建立认证体系，制定推广反映行业规律和特色要求的合同示范文本。</w:t>
            </w:r>
          </w:p>
          <w:p w14:paraId="5EFE148F">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行政法规】《中华人民共和国中外合作办学条例》（2003年3月1日国务院令第372号公布，2019年3月2日国务院令第709号第二次修订）第三十五条：国务院教育行政部门或者省、自治区、直辖市人民政府教育行政部门及劳动行政部门等其他有关行政部门应当加强对中外合作办学机构的日常监督，组织或者委托社会中介组织对中外合作办学机构的办学水平和教育质量进行评估，并将评估结果向社会公布。</w:t>
            </w:r>
          </w:p>
        </w:tc>
        <w:tc>
          <w:tcPr>
            <w:tcW w:w="2698" w:type="dxa"/>
            <w:tcBorders>
              <w:top w:val="single" w:color="auto" w:sz="4" w:space="0"/>
              <w:left w:val="nil"/>
              <w:bottom w:val="single" w:color="auto" w:sz="4" w:space="0"/>
              <w:right w:val="single" w:color="auto" w:sz="4" w:space="0"/>
            </w:tcBorders>
            <w:vAlign w:val="center"/>
          </w:tcPr>
          <w:p w14:paraId="709F7F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 xml:space="preserve"> 1.告知责任: 向行政相对人送达行政检查通知，告知检查依据、涉及事项、检查时间及需提前准备资料等事项。</w:t>
            </w:r>
          </w:p>
          <w:p w14:paraId="240EDC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7651E73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45A7DB9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2775FAFD">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1</w:t>
            </w:r>
            <w:r>
              <w:rPr>
                <w:rFonts w:hint="eastAsia" w:eastAsia="仿宋_GB2312" w:cs="仿宋_GB2312"/>
                <w:snapToGrid w:val="0"/>
                <w:sz w:val="20"/>
                <w:szCs w:val="20"/>
                <w:highlight w:val="none"/>
              </w:rPr>
              <w:t>．【法律】《中华人民共和国行政许可法》（</w:t>
            </w:r>
            <w:r>
              <w:rPr>
                <w:rFonts w:eastAsia="仿宋_GB2312" w:cs="仿宋_GB2312"/>
                <w:snapToGrid w:val="0"/>
                <w:sz w:val="20"/>
                <w:szCs w:val="20"/>
                <w:highlight w:val="none"/>
              </w:rPr>
              <w:t>2003</w:t>
            </w:r>
            <w:r>
              <w:rPr>
                <w:rFonts w:hint="eastAsia" w:eastAsia="仿宋_GB2312" w:cs="仿宋_GB2312"/>
                <w:snapToGrid w:val="0"/>
                <w:sz w:val="20"/>
                <w:szCs w:val="20"/>
                <w:highlight w:val="none"/>
              </w:rPr>
              <w:t>年</w:t>
            </w:r>
            <w:r>
              <w:rPr>
                <w:rFonts w:eastAsia="仿宋_GB2312" w:cs="仿宋_GB2312"/>
                <w:snapToGrid w:val="0"/>
                <w:sz w:val="20"/>
                <w:szCs w:val="20"/>
                <w:highlight w:val="none"/>
              </w:rPr>
              <w:t>8</w:t>
            </w:r>
            <w:r>
              <w:rPr>
                <w:rFonts w:hint="eastAsia" w:eastAsia="仿宋_GB2312" w:cs="仿宋_GB2312"/>
                <w:snapToGrid w:val="0"/>
                <w:sz w:val="20"/>
                <w:szCs w:val="20"/>
                <w:highlight w:val="none"/>
              </w:rPr>
              <w:t>月</w:t>
            </w:r>
            <w:r>
              <w:rPr>
                <w:rFonts w:eastAsia="仿宋_GB2312" w:cs="仿宋_GB2312"/>
                <w:snapToGrid w:val="0"/>
                <w:sz w:val="20"/>
                <w:szCs w:val="20"/>
                <w:highlight w:val="none"/>
              </w:rPr>
              <w:t>27</w:t>
            </w:r>
            <w:r>
              <w:rPr>
                <w:rFonts w:hint="eastAsia" w:eastAsia="仿宋_GB2312" w:cs="仿宋_GB2312"/>
                <w:snapToGrid w:val="0"/>
                <w:sz w:val="20"/>
                <w:szCs w:val="20"/>
                <w:highlight w:val="none"/>
              </w:rPr>
              <w:t>日通过，</w:t>
            </w:r>
            <w:r>
              <w:rPr>
                <w:rFonts w:eastAsia="仿宋_GB2312" w:cs="仿宋_GB2312"/>
                <w:snapToGrid w:val="0"/>
                <w:sz w:val="20"/>
                <w:szCs w:val="20"/>
                <w:highlight w:val="none"/>
              </w:rPr>
              <w:t>2019</w:t>
            </w:r>
            <w:r>
              <w:rPr>
                <w:rFonts w:hint="eastAsia" w:eastAsia="仿宋_GB2312" w:cs="仿宋_GB2312"/>
                <w:snapToGrid w:val="0"/>
                <w:sz w:val="20"/>
                <w:szCs w:val="20"/>
                <w:highlight w:val="none"/>
              </w:rPr>
              <w:t>年</w:t>
            </w:r>
            <w:r>
              <w:rPr>
                <w:rFonts w:eastAsia="仿宋_GB2312" w:cs="仿宋_GB2312"/>
                <w:snapToGrid w:val="0"/>
                <w:sz w:val="20"/>
                <w:szCs w:val="20"/>
                <w:highlight w:val="none"/>
              </w:rPr>
              <w:t>4</w:t>
            </w:r>
            <w:r>
              <w:rPr>
                <w:rFonts w:hint="eastAsia" w:eastAsia="仿宋_GB2312" w:cs="仿宋_GB2312"/>
                <w:snapToGrid w:val="0"/>
                <w:sz w:val="20"/>
                <w:szCs w:val="20"/>
                <w:highlight w:val="none"/>
              </w:rPr>
              <w:t>月</w:t>
            </w:r>
            <w:r>
              <w:rPr>
                <w:rFonts w:eastAsia="仿宋_GB2312" w:cs="仿宋_GB2312"/>
                <w:snapToGrid w:val="0"/>
                <w:sz w:val="20"/>
                <w:szCs w:val="20"/>
                <w:highlight w:val="none"/>
              </w:rPr>
              <w:t>23</w:t>
            </w:r>
            <w:r>
              <w:rPr>
                <w:rFonts w:hint="eastAsia" w:eastAsia="仿宋_GB2312" w:cs="仿宋_GB2312"/>
                <w:snapToGrid w:val="0"/>
                <w:sz w:val="20"/>
                <w:szCs w:val="20"/>
                <w:highlight w:val="none"/>
              </w:rPr>
              <w:t>日修正）第六十一条行政机关应当建立健全监督制度，通过检查反映被许可人从事行政许可事项活动情况的有关材料，履行监督责任。行政机关依法对被许可人从事行政许可事项的活动进行监督检查时，应当将监督检查的情况和处理结果予以记录，由监督检查人员签字后归档。公众有权查阅行政机关监督检查记录。行政机关应当创造条件，实现与被许可人、其他有关行政机关的计算机档案系统互联，核查被许可人从事行政许可事项活动情况。</w:t>
            </w:r>
          </w:p>
          <w:p w14:paraId="5AB98A80">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2.</w:t>
            </w:r>
            <w:r>
              <w:rPr>
                <w:rFonts w:hint="eastAsia" w:eastAsia="仿宋_GB2312" w:cs="仿宋_GB2312"/>
                <w:snapToGrid w:val="0"/>
                <w:sz w:val="20"/>
                <w:szCs w:val="20"/>
                <w:highlight w:val="none"/>
              </w:rPr>
              <w:t>【法律】《中华人民共和国民办教育促进法》（</w:t>
            </w:r>
            <w:r>
              <w:rPr>
                <w:rFonts w:eastAsia="仿宋_GB2312" w:cs="仿宋_GB2312"/>
                <w:snapToGrid w:val="0"/>
                <w:sz w:val="20"/>
                <w:szCs w:val="20"/>
                <w:highlight w:val="none"/>
              </w:rPr>
              <w:t>2002年12月28日通过，2018年12月29日主席令第24号第三次修正）</w:t>
            </w:r>
            <w:r>
              <w:rPr>
                <w:rFonts w:hint="eastAsia" w:eastAsia="仿宋_GB2312" w:cs="仿宋_GB2312"/>
                <w:snapToGrid w:val="0"/>
                <w:sz w:val="20"/>
                <w:szCs w:val="20"/>
                <w:highlight w:val="none"/>
              </w:rPr>
              <w:t>第四十七条：</w:t>
            </w:r>
            <w:r>
              <w:rPr>
                <w:rFonts w:eastAsia="仿宋_GB2312" w:cs="仿宋_GB2312"/>
                <w:snapToGrid w:val="0"/>
                <w:sz w:val="20"/>
                <w:szCs w:val="20"/>
                <w:highlight w:val="none"/>
              </w:rPr>
              <w:t>…….</w:t>
            </w:r>
            <w:r>
              <w:rPr>
                <w:rFonts w:hint="eastAsia" w:eastAsia="仿宋_GB2312" w:cs="仿宋_GB2312"/>
                <w:snapToGrid w:val="0"/>
                <w:sz w:val="20"/>
                <w:szCs w:val="20"/>
                <w:highlight w:val="none"/>
              </w:rPr>
              <w:t>教育行政部门、人力资源社会保障行政部门</w:t>
            </w:r>
            <w:r>
              <w:rPr>
                <w:rFonts w:eastAsia="仿宋_GB2312" w:cs="仿宋_GB2312"/>
                <w:snapToGrid w:val="0"/>
                <w:sz w:val="20"/>
                <w:szCs w:val="20"/>
                <w:highlight w:val="none"/>
              </w:rPr>
              <w:t>.....</w:t>
            </w:r>
            <w:r>
              <w:rPr>
                <w:rFonts w:hint="eastAsia" w:eastAsia="仿宋_GB2312" w:cs="仿宋_GB2312"/>
                <w:snapToGrid w:val="0"/>
                <w:sz w:val="20"/>
                <w:szCs w:val="20"/>
                <w:highlight w:val="none"/>
              </w:rPr>
              <w:t>对民办学校进行执法监督的情况和处罚、处理结果应当予以记录，由执法、监督人员签字后归档，并依法依规公开执法监督结果。</w:t>
            </w:r>
          </w:p>
          <w:p w14:paraId="353845AB">
            <w:pPr>
              <w:widowControl/>
              <w:adjustRightInd w:val="0"/>
              <w:snapToGrid w:val="0"/>
              <w:spacing w:line="300" w:lineRule="exact"/>
              <w:jc w:val="left"/>
              <w:rPr>
                <w:rFonts w:eastAsia="仿宋_GB2312" w:cs="仿宋_GB2312"/>
                <w:snapToGrid w:val="0"/>
                <w:sz w:val="20"/>
                <w:szCs w:val="20"/>
                <w:highlight w:val="none"/>
              </w:rPr>
            </w:pPr>
            <w:r>
              <w:rPr>
                <w:rFonts w:eastAsia="仿宋_GB2312" w:cs="仿宋_GB2312"/>
                <w:snapToGrid w:val="0"/>
                <w:sz w:val="20"/>
                <w:szCs w:val="20"/>
                <w:highlight w:val="none"/>
              </w:rPr>
              <w:t>3.</w:t>
            </w:r>
            <w:r>
              <w:rPr>
                <w:rFonts w:hint="eastAsia" w:eastAsia="仿宋_GB2312" w:cs="仿宋_GB2312"/>
                <w:snapToGrid w:val="0"/>
                <w:sz w:val="20"/>
                <w:szCs w:val="20"/>
                <w:highlight w:val="none"/>
              </w:rPr>
              <w:t>【法律】《中华人民共和国民办教育促进法》（</w:t>
            </w:r>
            <w:r>
              <w:rPr>
                <w:rFonts w:eastAsia="仿宋_GB2312" w:cs="仿宋_GB2312"/>
                <w:snapToGrid w:val="0"/>
                <w:sz w:val="20"/>
                <w:szCs w:val="20"/>
                <w:highlight w:val="none"/>
              </w:rPr>
              <w:t>2002年12月28日通过，2018年12月29日主席令第24号第三次修正）</w:t>
            </w:r>
            <w:r>
              <w:rPr>
                <w:rFonts w:hint="eastAsia" w:eastAsia="仿宋_GB2312" w:cs="仿宋_GB2312"/>
                <w:snapToGrid w:val="0"/>
                <w:sz w:val="20"/>
                <w:szCs w:val="20"/>
                <w:highlight w:val="none"/>
              </w:rPr>
              <w:t>第六十二条：民办学校有下列行为之一的，由县级以上人民政府教育行政部门、人力资源社会保障部门或者其他有关部门责令限期整改，并予以警告；有违法所得的，退还所收费用后没收违法所得；情节严重的，责令停止招生、吊销办学许可证；构成犯罪的，依法追究刑事责任。</w:t>
            </w:r>
          </w:p>
          <w:p w14:paraId="20182B32">
            <w:pPr>
              <w:pStyle w:val="2"/>
              <w:jc w:val="left"/>
              <w:rPr>
                <w:rFonts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18558A5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472CB41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44729D6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457C17C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7AE4A8A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1C3930F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01F7AA1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6.其他违反行政监督检查规定的情形。（机关纪委）</w:t>
            </w:r>
          </w:p>
        </w:tc>
        <w:tc>
          <w:tcPr>
            <w:tcW w:w="1942" w:type="dxa"/>
            <w:tcBorders>
              <w:top w:val="single" w:color="auto" w:sz="4" w:space="0"/>
              <w:left w:val="nil"/>
              <w:bottom w:val="single" w:color="auto" w:sz="4" w:space="0"/>
              <w:right w:val="single" w:color="auto" w:sz="4" w:space="0"/>
            </w:tcBorders>
            <w:vAlign w:val="center"/>
          </w:tcPr>
          <w:p w14:paraId="3F299B8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1.【法律】《中华人民共和国公务员法》（2018年12月29日第十三届全国人民代表大会常务委员会第七次会议修订，2019年6月1日起施行）第五十九条  公务员应当遵纪守法，不得有下列行为：……（四）不担当、不作为，玩忽职守，贻误工作；……（十）滥用职权，侵害公民、法人或者其他组织的合法权益。</w:t>
            </w:r>
          </w:p>
          <w:p w14:paraId="4E59441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038FF7B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行政法规】《行政机关公务员处分条例》（2007年国务院令第495号）第二十条有下列行为之一的，给予记过、记大过处分；情节较重的，给予降级或者撤职处分；情节严重的，给予开除处分：（四）其他玩忽职守、贻误工作的行为。</w:t>
            </w:r>
          </w:p>
          <w:p w14:paraId="78D7015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14:paraId="718EFC4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 【地方政府规章】《广西壮族自治区行政过错责任追究办法》（2007年4月17日自治区第十届</w:t>
            </w:r>
            <w:r>
              <w:rPr>
                <w:rFonts w:hint="eastAsia" w:eastAsia="仿宋_GB2312" w:cs="仿宋_GB2312"/>
                <w:snapToGrid w:val="0"/>
                <w:sz w:val="20"/>
                <w:szCs w:val="20"/>
                <w:highlight w:val="none"/>
                <w:lang w:eastAsia="zh-CN"/>
              </w:rPr>
              <w:t>人民政府</w:t>
            </w:r>
            <w:r>
              <w:rPr>
                <w:rFonts w:hint="eastAsia" w:eastAsia="仿宋_GB2312" w:cs="仿宋_GB2312"/>
                <w:snapToGrid w:val="0"/>
                <w:sz w:val="20"/>
                <w:szCs w:val="20"/>
                <w:highlight w:val="none"/>
              </w:rPr>
              <w:t>第63次常务会审议通过，2007年4月25日自治区人民政府令第24号公布，自2007年6月1日起施行）</w:t>
            </w:r>
          </w:p>
          <w:p w14:paraId="0BAB55C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第十一条  行政机关及其工作人员在实施行政监督检查过程中，有下列情形之一的，应当追究行政过错责任：</w:t>
            </w:r>
          </w:p>
          <w:p w14:paraId="199E707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（一）没有法定或者规定依据实施检查；</w:t>
            </w:r>
          </w:p>
          <w:p w14:paraId="53651F4B">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（二）没有具体理由、事项、内容、对象实施检查；</w:t>
            </w:r>
          </w:p>
          <w:p w14:paraId="6ED15A1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（三）放弃、推诿、拖延、拒绝履行检查职责；</w:t>
            </w:r>
          </w:p>
          <w:p w14:paraId="52AE8E0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（四）发现违法行为不依法制止、纠正；</w:t>
            </w:r>
          </w:p>
          <w:p w14:paraId="3A0958D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（五）侵犯被检查对象合法权益；</w:t>
            </w:r>
          </w:p>
          <w:p w14:paraId="6040514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（六）其他违反行政监督检查规定的情形。</w:t>
            </w:r>
          </w:p>
          <w:p w14:paraId="74A0361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5.【部门规章】《社会保险基金行政监督办法》（（2022年人力资源和社会保障部令第48号公布）第三十七条  人力资源社会保障行政部门负责人、社会保险基金行政监督工作人员违反本办法规定或者有其他滥用职权、徇私舞弊、玩忽职守行为的，依法给予处分。</w:t>
            </w:r>
          </w:p>
        </w:tc>
        <w:tc>
          <w:tcPr>
            <w:tcW w:w="2130" w:type="dxa"/>
            <w:tcBorders>
              <w:top w:val="single" w:color="auto" w:sz="4" w:space="0"/>
              <w:left w:val="nil"/>
              <w:bottom w:val="single" w:color="auto" w:sz="4" w:space="0"/>
              <w:right w:val="single" w:color="auto" w:sz="4" w:space="0"/>
            </w:tcBorders>
            <w:vAlign w:val="center"/>
          </w:tcPr>
          <w:p w14:paraId="23B29801">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1FA5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4E33F077">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62</w:t>
            </w:r>
          </w:p>
        </w:tc>
        <w:tc>
          <w:tcPr>
            <w:tcW w:w="1060" w:type="dxa"/>
            <w:tcBorders>
              <w:top w:val="single" w:color="auto" w:sz="4" w:space="0"/>
              <w:left w:val="nil"/>
              <w:bottom w:val="single" w:color="auto" w:sz="4" w:space="0"/>
              <w:right w:val="single" w:color="auto" w:sz="4" w:space="0"/>
            </w:tcBorders>
            <w:vAlign w:val="center"/>
          </w:tcPr>
          <w:p w14:paraId="2B61EBD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行政检查</w:t>
            </w:r>
          </w:p>
        </w:tc>
        <w:tc>
          <w:tcPr>
            <w:tcW w:w="572" w:type="dxa"/>
            <w:tcBorders>
              <w:top w:val="single" w:color="auto" w:sz="4" w:space="0"/>
              <w:left w:val="nil"/>
              <w:bottom w:val="single" w:color="auto" w:sz="4" w:space="0"/>
              <w:right w:val="single" w:color="auto" w:sz="4" w:space="0"/>
            </w:tcBorders>
            <w:vAlign w:val="center"/>
          </w:tcPr>
          <w:p w14:paraId="178833AE">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对农民工工资支付情况的监督检查</w:t>
            </w:r>
          </w:p>
        </w:tc>
        <w:tc>
          <w:tcPr>
            <w:tcW w:w="685" w:type="dxa"/>
            <w:tcBorders>
              <w:top w:val="single" w:color="auto" w:sz="4" w:space="0"/>
              <w:left w:val="nil"/>
              <w:bottom w:val="single" w:color="auto" w:sz="4" w:space="0"/>
              <w:right w:val="single" w:color="auto" w:sz="4" w:space="0"/>
            </w:tcBorders>
            <w:vAlign w:val="center"/>
          </w:tcPr>
          <w:p w14:paraId="08D066F7">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0FE2963B">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7B09DDFE">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宋体"/>
                <w:snapToGrid w:val="0"/>
                <w:szCs w:val="21"/>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5E1255C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行政法规】《保障农民工工资支付条例》（2019年12月30日国务院令第724号）第七条：人力资源社会保障行政部门负责保障农民工工资支付工作的组织协调、管理指导和农民工工资支付情况的监督检查，查处有关拖欠农民工工资案件。……</w:t>
            </w:r>
          </w:p>
        </w:tc>
        <w:tc>
          <w:tcPr>
            <w:tcW w:w="2698" w:type="dxa"/>
            <w:tcBorders>
              <w:top w:val="single" w:color="auto" w:sz="4" w:space="0"/>
              <w:left w:val="nil"/>
              <w:bottom w:val="single" w:color="auto" w:sz="4" w:space="0"/>
              <w:right w:val="single" w:color="auto" w:sz="4" w:space="0"/>
            </w:tcBorders>
            <w:vAlign w:val="center"/>
          </w:tcPr>
          <w:p w14:paraId="5D6DC095">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1.告知责任: 向行政相对人送达行政检查通知，告知检查依据、涉及事项、检查时间及需提前准备资料等事项。</w:t>
            </w:r>
          </w:p>
          <w:p w14:paraId="6B19BC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2.检查责任：根据检查方案，实行组长负责制，对行政相对人开展行政检查。</w:t>
            </w:r>
          </w:p>
          <w:p w14:paraId="7BBA1B58">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3.处理责任：依次分别做好行政检查组所提交报告的审核、行政处理（包括但不限于责令限期改正、行政处罚、行政移送、对检查发现问题改正情况开展检查等）、立卷归档等。</w:t>
            </w:r>
          </w:p>
          <w:p w14:paraId="1001A87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7AC3B3B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保障农民工工资支付条例》（2019年12月30日国务院令第724号）第三十九条：人力资源社会保障行政部门、相关行业工程建设主管部门和其他有关部门应当按照职责，加强对用人单位与农民工签订劳动合同、工资支付以及工程建设项目实行农民工实名制管理、农民工工资专用账户管理、施工总承包单位代发工资、工资保证金存储、维权信息公示等情况的监督检查，预防和减少拖欠农民工工资行为的发生。</w:t>
            </w:r>
          </w:p>
          <w:p w14:paraId="5E252BF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 1.</w:t>
            </w:r>
          </w:p>
          <w:p w14:paraId="1D0CC63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3.【法律】《中华人民共和国行政处罚法》（1996年3月17日通过，2021年1月22日修订）第五十七条：调查终结，行政机关负责人应当对调查结果进行审查，根据不同情况，分别作出如下决定：</w:t>
            </w:r>
          </w:p>
          <w:p w14:paraId="21CA11C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（一）确有应受行政处罚的违法行为的，根据情节轻重及具体情况，作出行政处罚决定；</w:t>
            </w:r>
          </w:p>
          <w:p w14:paraId="1B7E7BE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（二）违法行为轻微，依法可以不予行政处罚的，不予行政处罚；</w:t>
            </w:r>
          </w:p>
          <w:p w14:paraId="3AEC2D4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（三）违法事实不能成立的，不予行政处罚；</w:t>
            </w:r>
          </w:p>
          <w:p w14:paraId="4D05371B">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（四）违法行为涉嫌犯罪的，移送司法机关。</w:t>
            </w:r>
          </w:p>
          <w:p w14:paraId="2426771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对情节复杂或者重大违法行为给予行政处罚，行政机关负责人应当集体讨论决定。.</w:t>
            </w:r>
          </w:p>
        </w:tc>
        <w:tc>
          <w:tcPr>
            <w:tcW w:w="1942" w:type="dxa"/>
            <w:tcBorders>
              <w:top w:val="single" w:color="auto" w:sz="4" w:space="0"/>
              <w:left w:val="nil"/>
              <w:bottom w:val="single" w:color="auto" w:sz="4" w:space="0"/>
              <w:right w:val="single" w:color="auto" w:sz="4" w:space="0"/>
            </w:tcBorders>
            <w:vAlign w:val="center"/>
          </w:tcPr>
          <w:p w14:paraId="39AFE28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0D2EA15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1.没有法定或者规定依据实施检查（机关纪委）；</w:t>
            </w:r>
          </w:p>
          <w:p w14:paraId="64858F0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2.没有具体理由、事项、内容、对象实施检查（机关纪委）；</w:t>
            </w:r>
          </w:p>
          <w:p w14:paraId="3984DB3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3.放弃、推诿、拖延、拒绝履行检查职责（机关纪委）；</w:t>
            </w:r>
          </w:p>
          <w:p w14:paraId="6CB3227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4.发现违法行为不依法制止、纠正（机关纪委）；</w:t>
            </w:r>
          </w:p>
          <w:p w14:paraId="1F99912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5.侵犯被检查对象合法权益（机关纪委）；</w:t>
            </w:r>
          </w:p>
          <w:p w14:paraId="2234402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6.除以上追责情形外，其他违反法律法规规章的行为依法追究相应责任（机关纪委）。</w:t>
            </w:r>
          </w:p>
        </w:tc>
        <w:tc>
          <w:tcPr>
            <w:tcW w:w="1942" w:type="dxa"/>
            <w:tcBorders>
              <w:top w:val="single" w:color="auto" w:sz="4" w:space="0"/>
              <w:left w:val="nil"/>
              <w:bottom w:val="single" w:color="auto" w:sz="4" w:space="0"/>
              <w:right w:val="single" w:color="auto" w:sz="4" w:space="0"/>
            </w:tcBorders>
            <w:vAlign w:val="center"/>
          </w:tcPr>
          <w:p w14:paraId="397AD40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1.【地方政府规章】《广西壮族自治区行政过错责任追究办法》（2007广西壮族自治区人民政府令第24号公布）第十一条  行政机关及其工作人员在实施行政监督检查过程中，有下列情形之一的，应当追究行政过错责任：（一）没有法定或者规定依据实施检查；……</w:t>
            </w:r>
          </w:p>
          <w:p w14:paraId="5EEDCCD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2.【地方政府规章】《广西壮族自治区行政过错责任追究办法》（2007广西壮族自治区人民政府令第24号公布）第十一条  行政机关及其工作人员在实施行政监督检查过程中，有下列情形之一的，应当追究行政过错责任：……（二）没有具体理由、事项、内容、对象实施检查；……</w:t>
            </w:r>
          </w:p>
          <w:p w14:paraId="111E8C33">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3-1.【党纪】《中国共产党纪律处分条例》（2018年修订）第一百二十一条 工作中不负责任或者疏于管理，贯彻执行、监督督促落实上级决策部署不力，给党、国家和人民利益以及公共财产造成较大损失的，对直接责任者和领导责任者，给予警告或者严重警告处分；造成重大损失的，给予撤销党内职务、留党察看或者开除党籍处分。</w:t>
            </w:r>
          </w:p>
          <w:p w14:paraId="4FE1D82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3-2.【地方政府规章】《广西壮族自治区行政过错责任追究办法》（2007广西壮族自治区人民政府令第24号公布）第十一条  行政机关及其工作人员在实施行政监督检查过程中，有下列情形之一的，应当追究行政过错责任：……（三）放弃、推诿、拖延、拒绝履行检查职责；……</w:t>
            </w:r>
          </w:p>
          <w:p w14:paraId="65F1F53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4.【地方政府规章】《广西壮族自治区行政过错责任追究办法》（2007广西壮族自治区人民政府令第24号公布）第十一条  行政机关及其工作人员在实施行政监督检查过程中，有下列情形之一的，应当追究行政过错责任：……（四）发现违法行为不依法制止、纠正；……</w:t>
            </w:r>
          </w:p>
          <w:p w14:paraId="2B9CBE7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5-1.【法律】《中华人民共和国公务员法》第五十九条  公务员应当遵纪守法，不得有下列行为：……（十）滥用职权，侵害公民、法人或者其他组织的合法权益。</w:t>
            </w:r>
          </w:p>
          <w:p w14:paraId="654C97BC">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5-2.【地方政府规章】《广西壮族自治区行政过错责任追究办法》（2007广西壮族自治区人民政府令第24号公布）第十一条  行政机关及其工作人员在实施行政监督检查过程中，有下列情形之一的，应当追究行政过错责任：……（五）侵犯被检查对象合法权益；……</w:t>
            </w:r>
          </w:p>
        </w:tc>
        <w:tc>
          <w:tcPr>
            <w:tcW w:w="2130" w:type="dxa"/>
            <w:tcBorders>
              <w:top w:val="single" w:color="auto" w:sz="4" w:space="0"/>
              <w:left w:val="nil"/>
              <w:bottom w:val="single" w:color="auto" w:sz="4" w:space="0"/>
              <w:right w:val="single" w:color="auto" w:sz="4" w:space="0"/>
            </w:tcBorders>
            <w:vAlign w:val="center"/>
          </w:tcPr>
          <w:p w14:paraId="07799C6B">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6AC70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5ECD24BB">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63</w:t>
            </w:r>
          </w:p>
        </w:tc>
        <w:tc>
          <w:tcPr>
            <w:tcW w:w="1060" w:type="dxa"/>
            <w:tcBorders>
              <w:top w:val="single" w:color="auto" w:sz="4" w:space="0"/>
              <w:left w:val="nil"/>
              <w:bottom w:val="single" w:color="auto" w:sz="4" w:space="0"/>
              <w:right w:val="single" w:color="auto" w:sz="4" w:space="0"/>
            </w:tcBorders>
            <w:vAlign w:val="center"/>
          </w:tcPr>
          <w:p w14:paraId="27786B5D">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行政奖励</w:t>
            </w:r>
          </w:p>
        </w:tc>
        <w:tc>
          <w:tcPr>
            <w:tcW w:w="572" w:type="dxa"/>
            <w:tcBorders>
              <w:top w:val="single" w:color="auto" w:sz="4" w:space="0"/>
              <w:left w:val="nil"/>
              <w:bottom w:val="single" w:color="auto" w:sz="4" w:space="0"/>
              <w:right w:val="single" w:color="auto" w:sz="4" w:space="0"/>
            </w:tcBorders>
            <w:vAlign w:val="center"/>
          </w:tcPr>
          <w:p w14:paraId="74AF7F33">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对举报违反劳动保障法律、法规或者规章行为有功的组织或者个人的奖励</w:t>
            </w:r>
          </w:p>
        </w:tc>
        <w:tc>
          <w:tcPr>
            <w:tcW w:w="685" w:type="dxa"/>
            <w:tcBorders>
              <w:top w:val="single" w:color="auto" w:sz="4" w:space="0"/>
              <w:left w:val="nil"/>
              <w:bottom w:val="single" w:color="auto" w:sz="4" w:space="0"/>
              <w:right w:val="single" w:color="auto" w:sz="4" w:space="0"/>
            </w:tcBorders>
            <w:vAlign w:val="center"/>
          </w:tcPr>
          <w:p w14:paraId="3EC74EEF">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295086E5">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6CC69778">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3BF6DA6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七十九条：任何组织或者个人对违反本法的行为都有权举报，县级以上人民政府劳动行政部门应当及时核实、处理，并对举报有功人员给予奖励。</w:t>
            </w:r>
          </w:p>
          <w:p w14:paraId="723964E4">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2.【行政法规】《劳动保障监察条例》（2004年国务院令第423号）第九条：任何组织或者个人对违反劳动保障法律、法规或者规章的行为，有权向劳动保障行政部门举报。</w:t>
            </w:r>
          </w:p>
          <w:p w14:paraId="68393CB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劳动者认为用人单位侵犯其劳动保障合法权益的，有权向劳动保障行政部门投诉。</w:t>
            </w:r>
          </w:p>
          <w:p w14:paraId="3394C62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劳动保障行政部门应当为举报人保密；对举报属实，为查处重大违反劳动保障法律、法规或者规章的行为提供主要线索和证据的举报人，给予奖励。</w:t>
            </w:r>
          </w:p>
          <w:p w14:paraId="7E6C92E1">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部门规章】《关于实施〈劳动保障监察条例〉若干规定》（2004年劳动保障部令第25号）第十一条：劳动保障行政部门对举报人反映的违反劳动保障法律的行为应当依法予以查处，并为举报人保密；对举报属实，为查处重大违反劳动保障法律的行为提供主要线索和证据的举报人，给予奖励。</w:t>
            </w:r>
          </w:p>
        </w:tc>
        <w:tc>
          <w:tcPr>
            <w:tcW w:w="2698" w:type="dxa"/>
            <w:tcBorders>
              <w:top w:val="single" w:color="auto" w:sz="4" w:space="0"/>
              <w:left w:val="nil"/>
              <w:bottom w:val="single" w:color="auto" w:sz="4" w:space="0"/>
              <w:right w:val="single" w:color="auto" w:sz="4" w:space="0"/>
            </w:tcBorders>
            <w:vAlign w:val="center"/>
          </w:tcPr>
          <w:p w14:paraId="714BC1A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1.前期阶段责任：收集整理对举报违反劳动保障法律、法规或者规章行为有功的组织或者个人相关材料，及时呈报处理。</w:t>
            </w:r>
          </w:p>
          <w:p w14:paraId="49DC7AF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2.审查阶段责任：审查材料的真伪及作用，提出审查意见。</w:t>
            </w:r>
          </w:p>
          <w:p w14:paraId="65A962BA">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3.决定阶段责任：决定是否对举报违反劳动保障法律、法规或者规章行为有功工作中做出显著成绩的组织或者个人的奖励标准和方式。</w:t>
            </w:r>
          </w:p>
          <w:p w14:paraId="07BC7577">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4.执行阶段责任：兑现奖励。</w:t>
            </w:r>
          </w:p>
          <w:p w14:paraId="1BF5CEC3">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5.法律法规规章文件规定的其他应履行的责任。</w:t>
            </w:r>
          </w:p>
          <w:p w14:paraId="00A432C4">
            <w:pPr>
              <w:widowControl/>
              <w:adjustRightInd w:val="0"/>
              <w:snapToGrid w:val="0"/>
              <w:spacing w:line="300" w:lineRule="exact"/>
              <w:jc w:val="left"/>
              <w:rPr>
                <w:rFonts w:eastAsia="仿宋_GB2312" w:cs="仿宋_GB2312"/>
                <w:snapToGrid w:val="0"/>
                <w:sz w:val="20"/>
                <w:szCs w:val="20"/>
                <w:highlight w:val="none"/>
              </w:rPr>
            </w:pPr>
          </w:p>
        </w:tc>
        <w:tc>
          <w:tcPr>
            <w:tcW w:w="5244" w:type="dxa"/>
            <w:tcBorders>
              <w:top w:val="single" w:color="auto" w:sz="4" w:space="0"/>
              <w:left w:val="nil"/>
              <w:bottom w:val="single" w:color="auto" w:sz="4" w:space="0"/>
              <w:right w:val="single" w:color="auto" w:sz="4" w:space="0"/>
            </w:tcBorders>
            <w:vAlign w:val="center"/>
          </w:tcPr>
          <w:p w14:paraId="35A8D769">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2007年6月29日通过，2012年12月28日主席令第73号修正）第七十九条：任何组织或者个人对违反本法的行为都有权举报，县级以上人民政府劳动行政部门应当及时核实、处理，并对举报有功人员给予奖励。</w:t>
            </w:r>
          </w:p>
          <w:p w14:paraId="4F9FDC10">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2.同1。</w:t>
            </w:r>
          </w:p>
          <w:p w14:paraId="7329E1B2">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3.同1。</w:t>
            </w:r>
          </w:p>
          <w:p w14:paraId="67EFF03D">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4.同1。</w:t>
            </w:r>
          </w:p>
        </w:tc>
        <w:tc>
          <w:tcPr>
            <w:tcW w:w="1942" w:type="dxa"/>
            <w:tcBorders>
              <w:top w:val="single" w:color="auto" w:sz="4" w:space="0"/>
              <w:left w:val="nil"/>
              <w:bottom w:val="single" w:color="auto" w:sz="4" w:space="0"/>
              <w:right w:val="single" w:color="auto" w:sz="4" w:space="0"/>
            </w:tcBorders>
            <w:vAlign w:val="center"/>
          </w:tcPr>
          <w:p w14:paraId="2222749A">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因不履行或不正确履行行政职责，有下列情形的，行政机关及其工作人员应承担相应责任：</w:t>
            </w:r>
          </w:p>
          <w:p w14:paraId="5DAFDD98">
            <w:pPr>
              <w:widowControl/>
              <w:numPr>
                <w:ilvl w:val="0"/>
                <w:numId w:val="1"/>
              </w:numPr>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符合奖励条件而审核不通过或不符合奖励条件而违规予以审查通过的（机关纪委）；</w:t>
            </w:r>
          </w:p>
          <w:p w14:paraId="61746B72">
            <w:pPr>
              <w:widowControl/>
              <w:numPr>
                <w:ilvl w:val="0"/>
                <w:numId w:val="0"/>
              </w:numPr>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2.不按程序研究决定或决定错误或显失公平的（机关纪委）；</w:t>
            </w:r>
          </w:p>
          <w:p w14:paraId="0AE5004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3.不及时兑现奖励或收取回扣的（机关纪委）；</w:t>
            </w:r>
          </w:p>
          <w:p w14:paraId="5E557C7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4.工作中滥用职权、徇私舞弊、玩忽职守造成不良后果的（机关纪委）；</w:t>
            </w:r>
          </w:p>
          <w:p w14:paraId="786C021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5.工作中发生贪污腐败行为的（机关纪委）；</w:t>
            </w:r>
          </w:p>
          <w:p w14:paraId="691AC6A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6.其他违反法律法规规章文件规定的行为（机关纪委）。</w:t>
            </w:r>
          </w:p>
        </w:tc>
        <w:tc>
          <w:tcPr>
            <w:tcW w:w="1942" w:type="dxa"/>
            <w:tcBorders>
              <w:top w:val="single" w:color="auto" w:sz="4" w:space="0"/>
              <w:left w:val="nil"/>
              <w:bottom w:val="single" w:color="auto" w:sz="4" w:space="0"/>
              <w:right w:val="single" w:color="auto" w:sz="4" w:space="0"/>
            </w:tcBorders>
            <w:vAlign w:val="center"/>
          </w:tcPr>
          <w:p w14:paraId="303AE68E">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1.【法律】《中华人民共和国劳动合同法》（2012年12月28日通过，2013年7月1日实施） 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14:paraId="732BDE9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w:t>
            </w:r>
          </w:p>
          <w:p w14:paraId="4972CE2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3.同1.</w:t>
            </w:r>
          </w:p>
          <w:p w14:paraId="371ED2BF">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4.同1.</w:t>
            </w:r>
          </w:p>
          <w:p w14:paraId="2B867CE6">
            <w:pPr>
              <w:widowControl/>
              <w:adjustRightInd w:val="0"/>
              <w:snapToGrid w:val="0"/>
              <w:spacing w:line="300" w:lineRule="exact"/>
              <w:jc w:val="left"/>
              <w:rPr>
                <w:rFonts w:eastAsia="仿宋_GB2312" w:cs="仿宋_GB2312"/>
                <w:snapToGrid w:val="0"/>
                <w:sz w:val="20"/>
                <w:szCs w:val="20"/>
                <w:highlight w:val="none"/>
              </w:rPr>
            </w:pPr>
            <w:r>
              <w:rPr>
                <w:rFonts w:hint="eastAsia" w:eastAsia="仿宋_GB2312" w:cs="仿宋_GB2312"/>
                <w:snapToGrid w:val="0"/>
                <w:sz w:val="20"/>
                <w:szCs w:val="20"/>
                <w:highlight w:val="none"/>
              </w:rPr>
              <w:t>5.同1.</w:t>
            </w:r>
          </w:p>
        </w:tc>
        <w:tc>
          <w:tcPr>
            <w:tcW w:w="2130" w:type="dxa"/>
            <w:tcBorders>
              <w:top w:val="single" w:color="auto" w:sz="4" w:space="0"/>
              <w:left w:val="nil"/>
              <w:bottom w:val="single" w:color="auto" w:sz="4" w:space="0"/>
              <w:right w:val="single" w:color="auto" w:sz="4" w:space="0"/>
            </w:tcBorders>
            <w:vAlign w:val="center"/>
          </w:tcPr>
          <w:p w14:paraId="15BFE959">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0AF2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right w:val="single" w:color="auto" w:sz="4" w:space="0"/>
            </w:tcBorders>
            <w:vAlign w:val="center"/>
          </w:tcPr>
          <w:p w14:paraId="5E131FEA">
            <w:pPr>
              <w:widowControl/>
              <w:adjustRightInd w:val="0"/>
              <w:snapToGrid w:val="0"/>
              <w:spacing w:line="300" w:lineRule="exact"/>
              <w:jc w:val="center"/>
              <w:rPr>
                <w:rFonts w:hint="default" w:eastAsia="仿宋_GB2312" w:cs="仿宋_GB2312"/>
                <w:snapToGrid w:val="0"/>
                <w:sz w:val="20"/>
                <w:szCs w:val="20"/>
                <w:highlight w:val="none"/>
                <w:lang w:val="en-US" w:eastAsia="zh-CN"/>
              </w:rPr>
            </w:pPr>
            <w:r>
              <w:rPr>
                <w:rFonts w:hint="eastAsia" w:eastAsia="仿宋_GB2312" w:cs="仿宋_GB2312"/>
                <w:snapToGrid w:val="0"/>
                <w:sz w:val="20"/>
                <w:szCs w:val="20"/>
                <w:highlight w:val="none"/>
                <w:lang w:val="en-US" w:eastAsia="zh-CN"/>
              </w:rPr>
              <w:t>64</w:t>
            </w:r>
          </w:p>
        </w:tc>
        <w:tc>
          <w:tcPr>
            <w:tcW w:w="1060" w:type="dxa"/>
            <w:tcBorders>
              <w:top w:val="single" w:color="auto" w:sz="4" w:space="0"/>
              <w:left w:val="nil"/>
              <w:right w:val="single" w:color="auto" w:sz="4" w:space="0"/>
            </w:tcBorders>
            <w:vAlign w:val="center"/>
          </w:tcPr>
          <w:p w14:paraId="43DC5674">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lang w:eastAsia="zh-CN"/>
              </w:rPr>
              <w:t>行政许可</w:t>
            </w:r>
          </w:p>
        </w:tc>
        <w:tc>
          <w:tcPr>
            <w:tcW w:w="572" w:type="dxa"/>
            <w:tcBorders>
              <w:top w:val="single" w:color="auto" w:sz="4" w:space="0"/>
              <w:left w:val="nil"/>
              <w:right w:val="single" w:color="auto" w:sz="4" w:space="0"/>
            </w:tcBorders>
            <w:vAlign w:val="center"/>
          </w:tcPr>
          <w:p w14:paraId="636AD16C">
            <w:pPr>
              <w:widowControl/>
              <w:adjustRightInd w:val="0"/>
              <w:snapToGrid w:val="0"/>
              <w:spacing w:line="300" w:lineRule="exact"/>
              <w:jc w:val="center"/>
              <w:rPr>
                <w:rFonts w:eastAsia="仿宋_GB2312" w:cs="仿宋_GB2312"/>
                <w:snapToGrid w:val="0"/>
                <w:sz w:val="20"/>
                <w:szCs w:val="20"/>
                <w:highlight w:val="none"/>
              </w:rPr>
            </w:pPr>
            <w:r>
              <w:rPr>
                <w:rFonts w:hint="eastAsia" w:eastAsia="仿宋_GB2312" w:cs="仿宋_GB2312"/>
                <w:snapToGrid w:val="0"/>
                <w:sz w:val="20"/>
                <w:szCs w:val="20"/>
                <w:highlight w:val="none"/>
              </w:rPr>
              <w:t>企业实行不定时工作制和综合计算工时工作制审批</w:t>
            </w:r>
          </w:p>
        </w:tc>
        <w:tc>
          <w:tcPr>
            <w:tcW w:w="685" w:type="dxa"/>
            <w:tcBorders>
              <w:top w:val="single" w:color="auto" w:sz="4" w:space="0"/>
              <w:left w:val="nil"/>
              <w:bottom w:val="single" w:color="auto" w:sz="4" w:space="0"/>
              <w:right w:val="single" w:color="auto" w:sz="4" w:space="0"/>
            </w:tcBorders>
            <w:vAlign w:val="center"/>
          </w:tcPr>
          <w:p w14:paraId="4A5F3004">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5C15BA72">
            <w:pPr>
              <w:widowControl/>
              <w:adjustRightInd w:val="0"/>
              <w:snapToGrid w:val="0"/>
              <w:spacing w:line="300" w:lineRule="exact"/>
              <w:jc w:val="center"/>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城中区人力资源和社会保障局</w:t>
            </w:r>
          </w:p>
        </w:tc>
        <w:tc>
          <w:tcPr>
            <w:tcW w:w="885" w:type="dxa"/>
            <w:tcBorders>
              <w:top w:val="single" w:color="auto" w:sz="4" w:space="0"/>
              <w:left w:val="single" w:color="auto" w:sz="4" w:space="0"/>
              <w:bottom w:val="single" w:color="auto" w:sz="4" w:space="0"/>
              <w:right w:val="single" w:color="auto" w:sz="4" w:space="0"/>
            </w:tcBorders>
            <w:vAlign w:val="center"/>
          </w:tcPr>
          <w:p w14:paraId="4B327FD7">
            <w:pPr>
              <w:widowControl/>
              <w:adjustRightInd w:val="0"/>
              <w:snapToGrid w:val="0"/>
              <w:spacing w:line="300" w:lineRule="exact"/>
              <w:jc w:val="center"/>
              <w:rPr>
                <w:rFonts w:hint="eastAsia" w:eastAsia="仿宋_GB2312" w:cs="仿宋_GB2312"/>
                <w:snapToGrid w:val="0"/>
                <w:color w:val="auto"/>
                <w:sz w:val="20"/>
                <w:szCs w:val="20"/>
                <w:highlight w:val="none"/>
                <w:lang w:eastAsia="zh-CN"/>
              </w:rPr>
            </w:pPr>
            <w:r>
              <w:rPr>
                <w:rFonts w:hint="eastAsia" w:eastAsia="仿宋_GB2312" w:cs="仿宋_GB2312"/>
                <w:snapToGrid w:val="0"/>
                <w:color w:val="auto"/>
                <w:sz w:val="20"/>
                <w:szCs w:val="20"/>
                <w:highlight w:val="none"/>
                <w:lang w:eastAsia="zh-CN"/>
              </w:rPr>
              <w:t>城中区劳动保障监察大队</w:t>
            </w:r>
          </w:p>
        </w:tc>
        <w:tc>
          <w:tcPr>
            <w:tcW w:w="1317" w:type="dxa"/>
            <w:tcBorders>
              <w:top w:val="single" w:color="auto" w:sz="4" w:space="0"/>
              <w:left w:val="nil"/>
              <w:bottom w:val="single" w:color="auto" w:sz="4" w:space="0"/>
              <w:right w:val="single" w:color="auto" w:sz="4" w:space="0"/>
            </w:tcBorders>
            <w:vAlign w:val="center"/>
          </w:tcPr>
          <w:p w14:paraId="472F59F9">
            <w:pPr>
              <w:widowControl/>
              <w:adjustRightInd w:val="0"/>
              <w:snapToGrid w:val="0"/>
              <w:spacing w:line="300" w:lineRule="exact"/>
              <w:jc w:val="center"/>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1.【法律】《中华人民共和国劳动法》（1994年7月5日主席令第28号，2018年12月29日第二次修正）第三十六条国家实行劳动者每日工作时间不超过八小时、平均每周工作时间不超过四十四小时的工时制度。</w:t>
            </w:r>
          </w:p>
          <w:p w14:paraId="67A79A80">
            <w:pPr>
              <w:widowControl/>
              <w:adjustRightInd w:val="0"/>
              <w:snapToGrid w:val="0"/>
              <w:spacing w:line="300" w:lineRule="exact"/>
              <w:jc w:val="center"/>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第三十七条对实行计件工作的劳动者，用人单位应当根据本法第三十六条规定的工时制度合理确定其劳动定额和计件报酬标准。                            第三十八条用人单位应当保证劳动者每周至少休息一日。</w:t>
            </w:r>
          </w:p>
          <w:p w14:paraId="10228623">
            <w:pPr>
              <w:widowControl/>
              <w:adjustRightInd w:val="0"/>
              <w:snapToGrid w:val="0"/>
              <w:spacing w:line="300" w:lineRule="exact"/>
              <w:jc w:val="center"/>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第三十九条企业因生产特点不能实行本法第三十六条、第三十八条规定的，经劳动行政部门批准，可以实行其他工作和休息办法。</w:t>
            </w:r>
          </w:p>
          <w:p w14:paraId="62557D4C">
            <w:pPr>
              <w:widowControl/>
              <w:adjustRightInd w:val="0"/>
              <w:snapToGrid w:val="0"/>
              <w:spacing w:line="300" w:lineRule="exact"/>
              <w:jc w:val="center"/>
              <w:rPr>
                <w:rFonts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2.【行政法规】《国务院关于职工工作时间的规定》（1994年国务院令第146号，1995年国务院令第174号修订）第五条因工作性质或者生产特点的限制，不能实行每日工作8小时、每周工作40小时标准工时制度的，按照国家有关规定，可以实行其他工作和休息办法。</w:t>
            </w:r>
          </w:p>
        </w:tc>
        <w:tc>
          <w:tcPr>
            <w:tcW w:w="2698" w:type="dxa"/>
            <w:tcBorders>
              <w:top w:val="single" w:color="auto" w:sz="4" w:space="0"/>
              <w:left w:val="nil"/>
              <w:bottom w:val="single" w:color="auto" w:sz="4" w:space="0"/>
              <w:right w:val="single" w:color="auto" w:sz="4" w:space="0"/>
            </w:tcBorders>
            <w:vAlign w:val="center"/>
          </w:tcPr>
          <w:p w14:paraId="44FFB18C">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1.受理责任：一次性告知补正材料；依法受理或不予受理（不予受理应当告知理由）。</w:t>
            </w:r>
          </w:p>
          <w:p w14:paraId="7F2F5D7C">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2.审查责任：按照政策规定对书面材料进行审查，提出是否同意审批的初步意见，告知申请人、利害相关人享有听证权利；涉及公共利益的重大许可，向社会公告，并举行听证。</w:t>
            </w:r>
          </w:p>
          <w:p w14:paraId="01A371B4">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3.决定责任：作出行政许可或者不予行政许可决定，法定告知（不予许可的应当书面告知理由）。</w:t>
            </w:r>
          </w:p>
          <w:p w14:paraId="7137F88C">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4.送达责任：准予许可的制发送达审批决定。</w:t>
            </w:r>
          </w:p>
          <w:p w14:paraId="529C0A7A">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5.事后监管环节责任：对审批后的相关事宜实施监督管理。</w:t>
            </w:r>
          </w:p>
          <w:p w14:paraId="205B09D7">
            <w:pPr>
              <w:widowControl/>
              <w:adjustRightInd w:val="0"/>
              <w:snapToGrid w:val="0"/>
              <w:spacing w:line="300" w:lineRule="exact"/>
              <w:jc w:val="left"/>
              <w:rPr>
                <w:rFonts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6.法律法规规章文件规定的其他应履行的责任。</w:t>
            </w:r>
          </w:p>
        </w:tc>
        <w:tc>
          <w:tcPr>
            <w:tcW w:w="5244" w:type="dxa"/>
            <w:tcBorders>
              <w:top w:val="single" w:color="auto" w:sz="4" w:space="0"/>
              <w:left w:val="nil"/>
              <w:bottom w:val="single" w:color="auto" w:sz="4" w:space="0"/>
              <w:right w:val="single" w:color="auto" w:sz="4" w:space="0"/>
            </w:tcBorders>
            <w:vAlign w:val="center"/>
          </w:tcPr>
          <w:p w14:paraId="7435C368">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1.【法律】《中华人民共和国行政许可法》（2003年8月27日通过，2019年4月23日修正）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14:paraId="4F22B752">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2-1.【法律】《中华人民共和国行政许可法》（2003年8月27日通过，2019年4月23日修正）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14:paraId="4A09B317">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2-2.【法律】《中华人民共和国行政许可法》（2003年8月27日通过，2019年4月23日修正）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14:paraId="62EA3BA0">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2-3.【法律】《中华人民共和国行政许可法》（2003年8月27日通过，2019年4月23日修正）第四十六条：法律、法规、规章规定实施行政许可应当听证的事项，或者行政机关认为需要听证的其他涉及公共利益的重大行政许可事项，行政机关应当向社会公告，并举行听证。</w:t>
            </w:r>
          </w:p>
          <w:p w14:paraId="644AF8F0">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3-1.【法律】《中华人民共和国行政许可法》（2003年8月27日通过，2019年4月23日修正）第三十七条：行政机关对行政许可申请进行审查后，除当场作出行政许可决定的外，应当在法定期限内按照规定程序作出行政许可决定。</w:t>
            </w:r>
          </w:p>
          <w:p w14:paraId="42A7C43D">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3- 2.【法律】《中华人民共和国行政许可法》（2003年8月27日通过，2019年4月23日修正）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w:t>
            </w:r>
          </w:p>
          <w:p w14:paraId="19C97984">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4-1.【法律】《中华人民共和国行政许可法》（2003年8月27日通过，2019年4月23日修正）第四十条：行政机关作出的准予行政许可决定，应当予以公开，公众有权查阅。</w:t>
            </w:r>
          </w:p>
          <w:p w14:paraId="2EF8F455">
            <w:pPr>
              <w:widowControl/>
              <w:adjustRightInd w:val="0"/>
              <w:snapToGrid w:val="0"/>
              <w:spacing w:line="300" w:lineRule="exact"/>
              <w:jc w:val="left"/>
              <w:rPr>
                <w:rFonts w:hint="eastAsia"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4-2.【法律】《中华人民共和国行政许可法》（2003年8月27日通过，2019年4月23日修正）第四十四条：行政机关作出准予行政许可的决定，应当自作出决定之日起十日内向申请人颁发、送达行政许可证件</w:t>
            </w:r>
            <w:bookmarkStart w:id="1" w:name="_GoBack"/>
            <w:bookmarkEnd w:id="1"/>
            <w:r>
              <w:rPr>
                <w:rFonts w:hint="eastAsia" w:eastAsia="仿宋_GB2312" w:cs="仿宋_GB2312"/>
                <w:snapToGrid w:val="0"/>
                <w:color w:val="auto"/>
                <w:sz w:val="20"/>
                <w:szCs w:val="20"/>
                <w:highlight w:val="none"/>
              </w:rPr>
              <w:t>或者加贴标签、加盖检验、检测、检疫印章。</w:t>
            </w:r>
          </w:p>
          <w:p w14:paraId="3761B995">
            <w:pPr>
              <w:widowControl/>
              <w:adjustRightInd w:val="0"/>
              <w:snapToGrid w:val="0"/>
              <w:spacing w:line="300" w:lineRule="exact"/>
              <w:jc w:val="left"/>
              <w:rPr>
                <w:rFonts w:eastAsia="仿宋_GB2312" w:cs="仿宋_GB2312"/>
                <w:snapToGrid w:val="0"/>
                <w:color w:val="auto"/>
                <w:sz w:val="20"/>
                <w:szCs w:val="20"/>
                <w:highlight w:val="none"/>
              </w:rPr>
            </w:pPr>
            <w:r>
              <w:rPr>
                <w:rFonts w:hint="eastAsia" w:eastAsia="仿宋_GB2312" w:cs="仿宋_GB2312"/>
                <w:snapToGrid w:val="0"/>
                <w:color w:val="auto"/>
                <w:sz w:val="20"/>
                <w:szCs w:val="20"/>
                <w:highlight w:val="none"/>
              </w:rPr>
              <w:t>5.【法律】《中华人民共和国行政许可法》（2003年8月27日通过，2019年4月23日修正）第六十一条：行政机关应当建立健全监督制度，通过核查反映被许可人从事行政许可事项活动情况的有关材料，履行监督责任。</w:t>
            </w:r>
          </w:p>
        </w:tc>
        <w:tc>
          <w:tcPr>
            <w:tcW w:w="1942" w:type="dxa"/>
            <w:tcBorders>
              <w:top w:val="single" w:color="auto" w:sz="4" w:space="0"/>
              <w:left w:val="nil"/>
              <w:bottom w:val="single" w:color="auto" w:sz="4" w:space="0"/>
              <w:right w:val="single" w:color="auto" w:sz="4" w:space="0"/>
            </w:tcBorders>
            <w:vAlign w:val="center"/>
          </w:tcPr>
          <w:p w14:paraId="21C67D3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因不履行或不正确履行行政职责，有下列情形的，行政机关及相关工作人员应承担相应责任：</w:t>
            </w:r>
          </w:p>
          <w:p w14:paraId="715BA91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1.对符合法定条件的行政许可申请不予受理的；</w:t>
            </w:r>
          </w:p>
          <w:p w14:paraId="47DEC900">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2.不在办公场所公示依法应当公示的材料的；</w:t>
            </w:r>
          </w:p>
          <w:p w14:paraId="10117209">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3.在受理、审查、决定行政许可过程中，未向申请人、利害关系人履行法定告知义务的；</w:t>
            </w:r>
          </w:p>
          <w:p w14:paraId="0DF537B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4.申请人提交的申请材料不齐全、不符合法定形式，不一次告知申请人必须补正的全部内容的；</w:t>
            </w:r>
          </w:p>
          <w:p w14:paraId="24018FA1">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5.未依法说明不受理行政许可申请或者不予行政许可的理由的；</w:t>
            </w:r>
          </w:p>
          <w:p w14:paraId="6DB89CC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6.除以上追责情形外，其他违反法律法规规章的行为依法追究相应责任。</w:t>
            </w:r>
          </w:p>
        </w:tc>
        <w:tc>
          <w:tcPr>
            <w:tcW w:w="1942" w:type="dxa"/>
            <w:tcBorders>
              <w:top w:val="single" w:color="auto" w:sz="4" w:space="0"/>
              <w:left w:val="nil"/>
              <w:bottom w:val="single" w:color="auto" w:sz="4" w:space="0"/>
              <w:right w:val="single" w:color="auto" w:sz="4" w:space="0"/>
            </w:tcBorders>
            <w:vAlign w:val="center"/>
          </w:tcPr>
          <w:p w14:paraId="445E9D9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1.【法律】《中华人民共和国行政许可法》（2003年8月27日主席令第7号） 第七十二条　行政机关及其工作人员违反本法的规定,有下列情形之一的,由其上级行政机关或者监察机关责令改正；情节严重的,对直接负责的主管人员和其他直接责任人员依法给予行政处分：</w:t>
            </w:r>
          </w:p>
          <w:p w14:paraId="1136000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（一）对符合法定条件的行政许可申请不予受理的；</w:t>
            </w:r>
          </w:p>
          <w:p w14:paraId="0C08FD4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（二）不在办公场所公示依法应当公示的材料的；</w:t>
            </w:r>
          </w:p>
          <w:p w14:paraId="3CDED53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（三）在受理、审查、决定行政许可过程中,未向申请人、利害关系人履行法定告知义务的；</w:t>
            </w:r>
          </w:p>
          <w:p w14:paraId="3F0962BC">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（四）申请人提交的申请材料不齐全、不符合法定形式,不一次告知申请人必须补正的全部内容的；</w:t>
            </w:r>
          </w:p>
          <w:p w14:paraId="30FC2C25">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（五）未依法说明不受理行政许可申请或者不予行政许可的理由的；</w:t>
            </w:r>
          </w:p>
          <w:p w14:paraId="4103FE97">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（六）依法应当举行听证而不举行听证的。</w:t>
            </w:r>
          </w:p>
          <w:p w14:paraId="2DD081D2">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2.同1；</w:t>
            </w:r>
          </w:p>
          <w:p w14:paraId="570817B4">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3.同1；</w:t>
            </w:r>
          </w:p>
          <w:p w14:paraId="5EFC9E28">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4.同1；</w:t>
            </w:r>
          </w:p>
          <w:p w14:paraId="144E5C86">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5.同1；</w:t>
            </w:r>
          </w:p>
          <w:p w14:paraId="6144D80D">
            <w:pPr>
              <w:widowControl/>
              <w:adjustRightInd w:val="0"/>
              <w:snapToGrid w:val="0"/>
              <w:spacing w:line="300" w:lineRule="exact"/>
              <w:jc w:val="left"/>
              <w:rPr>
                <w:rFonts w:hint="eastAsia" w:eastAsia="仿宋_GB2312" w:cs="仿宋_GB2312"/>
                <w:snapToGrid w:val="0"/>
                <w:sz w:val="20"/>
                <w:szCs w:val="20"/>
                <w:highlight w:val="none"/>
              </w:rPr>
            </w:pPr>
            <w:r>
              <w:rPr>
                <w:rFonts w:hint="eastAsia" w:eastAsia="仿宋_GB2312" w:cs="仿宋_GB2312"/>
                <w:snapToGrid w:val="0"/>
                <w:sz w:val="20"/>
                <w:szCs w:val="20"/>
                <w:highlight w:val="none"/>
              </w:rPr>
              <w:t>6.【法律】《中华人民共和国行政许可法》第七十三条　行政机关工作人员办理行政许可、实施监督检查，索取或者收受他人财物或者谋取其他利益，构成犯罪的，依法追究刑事责任；尚不构成犯罪的，依法给予行政处分。</w:t>
            </w:r>
          </w:p>
        </w:tc>
        <w:tc>
          <w:tcPr>
            <w:tcW w:w="2130" w:type="dxa"/>
            <w:tcBorders>
              <w:top w:val="single" w:color="auto" w:sz="4" w:space="0"/>
              <w:left w:val="nil"/>
              <w:bottom w:val="single" w:color="auto" w:sz="4" w:space="0"/>
              <w:right w:val="single" w:color="auto" w:sz="4" w:space="0"/>
            </w:tcBorders>
            <w:vAlign w:val="center"/>
          </w:tcPr>
          <w:p w14:paraId="44EE2489">
            <w:pPr>
              <w:widowControl/>
              <w:adjustRightInd w:val="0"/>
              <w:snapToGrid w:val="0"/>
              <w:spacing w:line="300" w:lineRule="exact"/>
              <w:jc w:val="left"/>
              <w:rPr>
                <w:rFonts w:hint="eastAsia" w:eastAsia="仿宋_GB2312" w:cs="仿宋_GB2312"/>
                <w:snapToGrid w:val="0"/>
                <w:sz w:val="20"/>
                <w:szCs w:val="20"/>
                <w:highlight w:val="none"/>
                <w:lang w:eastAsia="zh-CN"/>
              </w:rPr>
            </w:pPr>
            <w:r>
              <w:rPr>
                <w:rFonts w:hint="eastAsia" w:eastAsia="仿宋_GB2312" w:cs="仿宋_GB2312"/>
                <w:snapToGrid w:val="0"/>
                <w:sz w:val="20"/>
                <w:szCs w:val="20"/>
                <w:highlight w:val="none"/>
                <w:lang w:eastAsia="zh-CN"/>
              </w:rPr>
              <w:t>法律法规规章规定的免责情形及市委、市人民政府有关文件中明确的免责情形。</w:t>
            </w:r>
          </w:p>
        </w:tc>
      </w:tr>
      <w:tr w14:paraId="3480A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PrEx>
        <w:trPr>
          <w:trHeight w:val="774" w:hRule="atLeast"/>
          <w:jc w:val="center"/>
        </w:trPr>
        <w:tc>
          <w:tcPr>
            <w:tcW w:w="716" w:type="dxa"/>
            <w:tcBorders>
              <w:top w:val="single" w:color="auto" w:sz="4" w:space="0"/>
              <w:left w:val="single" w:color="auto" w:sz="4" w:space="0"/>
              <w:right w:val="single" w:color="auto" w:sz="4" w:space="0"/>
            </w:tcBorders>
            <w:vAlign w:val="center"/>
          </w:tcPr>
          <w:p w14:paraId="43BC2274">
            <w:pPr>
              <w:widowControl/>
              <w:adjustRightInd w:val="0"/>
              <w:snapToGrid w:val="0"/>
              <w:spacing w:line="300" w:lineRule="exact"/>
              <w:jc w:val="center"/>
              <w:rPr>
                <w:rFonts w:hint="eastAsia" w:eastAsia="仿宋_GB2312" w:cs="仿宋_GB2312"/>
                <w:snapToGrid w:val="0"/>
                <w:sz w:val="20"/>
                <w:szCs w:val="20"/>
                <w:highlight w:val="none"/>
                <w:lang w:val="en-US" w:eastAsia="zh-CN"/>
              </w:rPr>
            </w:pPr>
          </w:p>
        </w:tc>
        <w:tc>
          <w:tcPr>
            <w:tcW w:w="1060" w:type="dxa"/>
            <w:tcBorders>
              <w:top w:val="single" w:color="auto" w:sz="4" w:space="0"/>
              <w:left w:val="nil"/>
              <w:right w:val="single" w:color="auto" w:sz="4" w:space="0"/>
            </w:tcBorders>
            <w:vAlign w:val="center"/>
          </w:tcPr>
          <w:p w14:paraId="18DC056D">
            <w:pPr>
              <w:widowControl/>
              <w:adjustRightInd w:val="0"/>
              <w:snapToGrid w:val="0"/>
              <w:spacing w:line="300" w:lineRule="exact"/>
              <w:jc w:val="center"/>
              <w:rPr>
                <w:rFonts w:hint="eastAsia" w:eastAsia="仿宋_GB2312" w:cs="仿宋_GB2312"/>
                <w:snapToGrid w:val="0"/>
                <w:sz w:val="20"/>
                <w:szCs w:val="20"/>
                <w:highlight w:val="none"/>
                <w:lang w:eastAsia="zh-CN"/>
              </w:rPr>
            </w:pPr>
          </w:p>
        </w:tc>
        <w:tc>
          <w:tcPr>
            <w:tcW w:w="572" w:type="dxa"/>
            <w:tcBorders>
              <w:top w:val="single" w:color="auto" w:sz="4" w:space="0"/>
              <w:left w:val="nil"/>
              <w:right w:val="single" w:color="auto" w:sz="4" w:space="0"/>
            </w:tcBorders>
            <w:vAlign w:val="center"/>
          </w:tcPr>
          <w:p w14:paraId="3A2AEE9B">
            <w:pPr>
              <w:widowControl/>
              <w:adjustRightInd w:val="0"/>
              <w:snapToGrid w:val="0"/>
              <w:spacing w:line="300" w:lineRule="exact"/>
              <w:jc w:val="center"/>
              <w:rPr>
                <w:rFonts w:hint="eastAsia" w:eastAsia="仿宋_GB2312" w:cs="仿宋_GB2312"/>
                <w:snapToGrid w:val="0"/>
                <w:sz w:val="20"/>
                <w:szCs w:val="20"/>
                <w:highlight w:val="none"/>
              </w:rPr>
            </w:pPr>
          </w:p>
        </w:tc>
        <w:tc>
          <w:tcPr>
            <w:tcW w:w="685" w:type="dxa"/>
            <w:tcBorders>
              <w:top w:val="single" w:color="auto" w:sz="4" w:space="0"/>
              <w:left w:val="nil"/>
              <w:bottom w:val="single" w:color="auto" w:sz="4" w:space="0"/>
              <w:right w:val="single" w:color="auto" w:sz="4" w:space="0"/>
            </w:tcBorders>
            <w:vAlign w:val="center"/>
          </w:tcPr>
          <w:p w14:paraId="11C72283">
            <w:pPr>
              <w:widowControl/>
              <w:adjustRightInd w:val="0"/>
              <w:snapToGrid w:val="0"/>
              <w:spacing w:line="300" w:lineRule="exact"/>
              <w:jc w:val="center"/>
              <w:rPr>
                <w:rFonts w:eastAsia="仿宋_GB2312" w:cs="仿宋_GB2312"/>
                <w:snapToGrid w:val="0"/>
                <w:sz w:val="20"/>
                <w:szCs w:val="20"/>
                <w:highlight w:val="none"/>
              </w:rPr>
            </w:pPr>
          </w:p>
        </w:tc>
        <w:tc>
          <w:tcPr>
            <w:tcW w:w="825" w:type="dxa"/>
            <w:gridSpan w:val="2"/>
            <w:tcBorders>
              <w:top w:val="single" w:color="auto" w:sz="4" w:space="0"/>
              <w:left w:val="nil"/>
              <w:bottom w:val="single" w:color="auto" w:sz="4" w:space="0"/>
              <w:right w:val="single" w:color="auto" w:sz="4" w:space="0"/>
            </w:tcBorders>
            <w:vAlign w:val="center"/>
          </w:tcPr>
          <w:p w14:paraId="3C4D304A">
            <w:pPr>
              <w:widowControl/>
              <w:adjustRightInd w:val="0"/>
              <w:snapToGrid w:val="0"/>
              <w:spacing w:line="300" w:lineRule="exact"/>
              <w:jc w:val="center"/>
              <w:rPr>
                <w:rFonts w:hint="eastAsia" w:eastAsia="仿宋_GB2312" w:cs="仿宋_GB2312"/>
                <w:snapToGrid w:val="0"/>
                <w:sz w:val="20"/>
                <w:szCs w:val="20"/>
                <w:highlight w:val="none"/>
                <w:lang w:eastAsia="zh-CN"/>
              </w:rPr>
            </w:pPr>
          </w:p>
        </w:tc>
        <w:tc>
          <w:tcPr>
            <w:tcW w:w="885" w:type="dxa"/>
            <w:tcBorders>
              <w:top w:val="single" w:color="auto" w:sz="4" w:space="0"/>
              <w:left w:val="single" w:color="auto" w:sz="4" w:space="0"/>
              <w:bottom w:val="single" w:color="auto" w:sz="4" w:space="0"/>
              <w:right w:val="single" w:color="auto" w:sz="4" w:space="0"/>
            </w:tcBorders>
            <w:vAlign w:val="center"/>
          </w:tcPr>
          <w:p w14:paraId="3633D2D2">
            <w:pPr>
              <w:widowControl/>
              <w:adjustRightInd w:val="0"/>
              <w:snapToGrid w:val="0"/>
              <w:spacing w:line="300" w:lineRule="exact"/>
              <w:jc w:val="center"/>
              <w:rPr>
                <w:rFonts w:hint="eastAsia" w:eastAsia="仿宋_GB2312" w:cs="仿宋_GB2312"/>
                <w:snapToGrid w:val="0"/>
                <w:sz w:val="20"/>
                <w:szCs w:val="20"/>
                <w:highlight w:val="none"/>
                <w:lang w:eastAsia="zh-CN"/>
              </w:rPr>
            </w:pPr>
          </w:p>
        </w:tc>
        <w:tc>
          <w:tcPr>
            <w:tcW w:w="1317" w:type="dxa"/>
            <w:tcBorders>
              <w:top w:val="single" w:color="auto" w:sz="4" w:space="0"/>
              <w:left w:val="nil"/>
              <w:bottom w:val="single" w:color="auto" w:sz="4" w:space="0"/>
              <w:right w:val="single" w:color="auto" w:sz="4" w:space="0"/>
            </w:tcBorders>
            <w:vAlign w:val="center"/>
          </w:tcPr>
          <w:p w14:paraId="77258944">
            <w:pPr>
              <w:widowControl/>
              <w:adjustRightInd w:val="0"/>
              <w:snapToGrid w:val="0"/>
              <w:spacing w:line="300" w:lineRule="exact"/>
              <w:jc w:val="center"/>
              <w:rPr>
                <w:rFonts w:hint="eastAsia" w:eastAsia="仿宋_GB2312" w:cs="仿宋_GB2312"/>
                <w:snapToGrid w:val="0"/>
                <w:sz w:val="20"/>
                <w:szCs w:val="20"/>
                <w:highlight w:val="none"/>
              </w:rPr>
            </w:pPr>
          </w:p>
        </w:tc>
        <w:tc>
          <w:tcPr>
            <w:tcW w:w="2698" w:type="dxa"/>
            <w:tcBorders>
              <w:top w:val="single" w:color="auto" w:sz="4" w:space="0"/>
              <w:left w:val="nil"/>
              <w:bottom w:val="single" w:color="auto" w:sz="4" w:space="0"/>
              <w:right w:val="single" w:color="auto" w:sz="4" w:space="0"/>
            </w:tcBorders>
            <w:vAlign w:val="center"/>
          </w:tcPr>
          <w:p w14:paraId="3C685682">
            <w:pPr>
              <w:widowControl/>
              <w:adjustRightInd w:val="0"/>
              <w:snapToGrid w:val="0"/>
              <w:spacing w:line="300" w:lineRule="exact"/>
              <w:jc w:val="left"/>
              <w:rPr>
                <w:rFonts w:eastAsia="仿宋_GB2312" w:cs="仿宋_GB2312"/>
                <w:snapToGrid w:val="0"/>
                <w:sz w:val="20"/>
                <w:szCs w:val="20"/>
                <w:highlight w:val="none"/>
              </w:rPr>
            </w:pPr>
          </w:p>
        </w:tc>
        <w:tc>
          <w:tcPr>
            <w:tcW w:w="5244" w:type="dxa"/>
            <w:tcBorders>
              <w:top w:val="single" w:color="auto" w:sz="4" w:space="0"/>
              <w:left w:val="nil"/>
              <w:bottom w:val="single" w:color="auto" w:sz="4" w:space="0"/>
              <w:right w:val="single" w:color="auto" w:sz="4" w:space="0"/>
            </w:tcBorders>
            <w:vAlign w:val="center"/>
          </w:tcPr>
          <w:p w14:paraId="5FCD95BD">
            <w:pPr>
              <w:widowControl/>
              <w:adjustRightInd w:val="0"/>
              <w:snapToGrid w:val="0"/>
              <w:spacing w:line="300" w:lineRule="exact"/>
              <w:jc w:val="left"/>
              <w:rPr>
                <w:rFonts w:hint="eastAsia"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442A94CE">
            <w:pPr>
              <w:widowControl/>
              <w:adjustRightInd w:val="0"/>
              <w:snapToGrid w:val="0"/>
              <w:spacing w:line="300" w:lineRule="exact"/>
              <w:jc w:val="left"/>
              <w:rPr>
                <w:rFonts w:hint="eastAsia" w:eastAsia="仿宋_GB2312" w:cs="仿宋_GB2312"/>
                <w:snapToGrid w:val="0"/>
                <w:sz w:val="20"/>
                <w:szCs w:val="20"/>
                <w:highlight w:val="none"/>
              </w:rPr>
            </w:pPr>
          </w:p>
        </w:tc>
        <w:tc>
          <w:tcPr>
            <w:tcW w:w="1942" w:type="dxa"/>
            <w:tcBorders>
              <w:top w:val="single" w:color="auto" w:sz="4" w:space="0"/>
              <w:left w:val="nil"/>
              <w:bottom w:val="single" w:color="auto" w:sz="4" w:space="0"/>
              <w:right w:val="single" w:color="auto" w:sz="4" w:space="0"/>
            </w:tcBorders>
            <w:vAlign w:val="center"/>
          </w:tcPr>
          <w:p w14:paraId="2E4F8950">
            <w:pPr>
              <w:widowControl/>
              <w:adjustRightInd w:val="0"/>
              <w:snapToGrid w:val="0"/>
              <w:spacing w:line="300" w:lineRule="exact"/>
              <w:jc w:val="left"/>
              <w:rPr>
                <w:rFonts w:hint="eastAsia" w:eastAsia="仿宋_GB2312" w:cs="仿宋_GB2312"/>
                <w:snapToGrid w:val="0"/>
                <w:sz w:val="20"/>
                <w:szCs w:val="20"/>
                <w:highlight w:val="none"/>
              </w:rPr>
            </w:pPr>
          </w:p>
        </w:tc>
        <w:tc>
          <w:tcPr>
            <w:tcW w:w="2130" w:type="dxa"/>
            <w:tcBorders>
              <w:top w:val="single" w:color="auto" w:sz="4" w:space="0"/>
              <w:left w:val="nil"/>
              <w:bottom w:val="single" w:color="auto" w:sz="4" w:space="0"/>
              <w:right w:val="single" w:color="auto" w:sz="4" w:space="0"/>
            </w:tcBorders>
            <w:vAlign w:val="center"/>
          </w:tcPr>
          <w:p w14:paraId="6120572A">
            <w:pPr>
              <w:widowControl/>
              <w:adjustRightInd w:val="0"/>
              <w:snapToGrid w:val="0"/>
              <w:spacing w:line="300" w:lineRule="exact"/>
              <w:jc w:val="left"/>
              <w:rPr>
                <w:rFonts w:hint="eastAsia" w:eastAsia="仿宋_GB2312" w:cs="仿宋_GB2312"/>
                <w:snapToGrid w:val="0"/>
                <w:sz w:val="20"/>
                <w:szCs w:val="20"/>
                <w:highlight w:val="none"/>
                <w:lang w:eastAsia="zh-CN"/>
              </w:rPr>
            </w:pPr>
          </w:p>
        </w:tc>
      </w:tr>
      <w:bookmarkEnd w:id="0"/>
    </w:tbl>
    <w:p w14:paraId="51444216">
      <w:pPr>
        <w:pStyle w:val="2"/>
        <w:spacing w:line="600" w:lineRule="exact"/>
        <w:jc w:val="center"/>
        <w:rPr>
          <w:rFonts w:eastAsia="方正小标宋简体" w:cs="方正小标宋简体"/>
          <w:snapToGrid w:val="0"/>
          <w:sz w:val="44"/>
          <w:szCs w:val="44"/>
          <w:highlight w:val="none"/>
        </w:rPr>
      </w:pPr>
    </w:p>
    <w:p w14:paraId="79881950">
      <w:pPr>
        <w:pStyle w:val="2"/>
        <w:rPr>
          <w:rFonts w:eastAsia="楷体_GB2312" w:cs="楷体_GB2312"/>
          <w:color w:val="FFFFFF"/>
          <w:sz w:val="32"/>
          <w:szCs w:val="32"/>
          <w:highlight w:val="none"/>
        </w:rPr>
      </w:pPr>
    </w:p>
    <w:sectPr>
      <w:footerReference r:id="rId5" w:type="default"/>
      <w:footerReference r:id="rId6" w:type="even"/>
      <w:pgSz w:w="23814" w:h="16840" w:orient="landscape"/>
      <w:pgMar w:top="1418" w:right="1418" w:bottom="1418" w:left="1418" w:header="851" w:footer="1077"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23-08-08T14:03:00Z" w:initials="A">
    <w:p w14:paraId="48230029">
      <w:pPr>
        <w:pStyle w:val="4"/>
        <w:rPr>
          <w:rFonts w:hint="eastAsia"/>
          <w:lang w:val="en-US" w:eastAsia="zh-CN"/>
        </w:rPr>
      </w:pPr>
      <w:r>
        <w:rPr>
          <w:rFonts w:hint="eastAsia"/>
          <w:lang w:eastAsia="zh-CN"/>
        </w:rPr>
        <w:t>对照市局</w:t>
      </w:r>
      <w:r>
        <w:rPr>
          <w:rFonts w:hint="eastAsia"/>
          <w:lang w:val="en-US" w:eastAsia="zh-CN"/>
        </w:rPr>
        <w:t>2023版，增加此项</w:t>
      </w:r>
    </w:p>
    <w:p w14:paraId="678418BE">
      <w:pPr>
        <w:pStyle w:val="4"/>
        <w:rPr>
          <w:rFonts w:hint="eastAsia"/>
          <w:lang w:val="en-US" w:eastAsia="zh-CN"/>
        </w:rPr>
      </w:pPr>
    </w:p>
  </w:comment>
  <w:comment w:id="1" w:author="Administrator" w:date="2023-08-08T14:04:00Z" w:initials="A">
    <w:p w14:paraId="3D6C4AE1">
      <w:pPr>
        <w:pStyle w:val="4"/>
        <w:rPr>
          <w:rFonts w:hint="eastAsia"/>
          <w:lang w:val="en-US" w:eastAsia="zh-CN"/>
        </w:rPr>
      </w:pPr>
      <w:r>
        <w:rPr>
          <w:rFonts w:hint="eastAsia"/>
          <w:lang w:eastAsia="zh-CN"/>
        </w:rPr>
        <w:t>对照市局</w:t>
      </w:r>
      <w:r>
        <w:rPr>
          <w:rFonts w:hint="eastAsia"/>
          <w:lang w:val="en-US" w:eastAsia="zh-CN"/>
        </w:rPr>
        <w:t>2023版，增加此项</w:t>
      </w:r>
    </w:p>
    <w:p w14:paraId="72AE2CD6">
      <w:pPr>
        <w:pStyle w:val="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78418BE" w15:done="0"/>
  <w15:commentEx w15:paraId="72AE2CD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黑体_GBK">
    <w:altName w:val="黑体"/>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26943">
    <w:pPr>
      <w:pStyle w:val="8"/>
      <w:jc w:val="center"/>
      <w:rPr>
        <w:sz w:val="32"/>
        <w:szCs w:val="32"/>
      </w:rPr>
    </w:pPr>
    <w:r>
      <w:rPr>
        <w:rFonts w:hint="eastAsia"/>
        <w:sz w:val="32"/>
        <w:szCs w:val="32"/>
      </w:rPr>
      <w:t>—</w:t>
    </w:r>
    <w:r>
      <w:rPr>
        <w:sz w:val="32"/>
        <w:szCs w:val="32"/>
      </w:rPr>
      <w:fldChar w:fldCharType="begin"/>
    </w:r>
    <w:r>
      <w:rPr>
        <w:sz w:val="32"/>
        <w:szCs w:val="32"/>
      </w:rPr>
      <w:instrText xml:space="preserve">PAGE   \* MERGEFORMAT</w:instrText>
    </w:r>
    <w:r>
      <w:rPr>
        <w:sz w:val="32"/>
        <w:szCs w:val="32"/>
      </w:rPr>
      <w:fldChar w:fldCharType="separate"/>
    </w:r>
    <w:r>
      <w:rPr>
        <w:sz w:val="32"/>
        <w:szCs w:val="32"/>
        <w:lang w:val="zh-CN"/>
      </w:rPr>
      <w:t>197</w:t>
    </w:r>
    <w:r>
      <w:rPr>
        <w:sz w:val="32"/>
        <w:szCs w:val="32"/>
      </w:rPr>
      <w:fldChar w:fldCharType="end"/>
    </w:r>
    <w:r>
      <w:rPr>
        <w:rFonts w:hint="eastAsia"/>
        <w:sz w:val="32"/>
        <w:szCs w:val="32"/>
      </w:rPr>
      <w:t>—</w:t>
    </w:r>
  </w:p>
  <w:p w14:paraId="4036351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0546A">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55F71C42">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7C9CA"/>
    <w:multiLevelType w:val="singleLevel"/>
    <w:tmpl w:val="8FE7C9CA"/>
    <w:lvl w:ilvl="0" w:tentative="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MDcwYzMzZWU4MWNhNTdkNzY2M2IwZGRjOGFlMzgzMGMifQ=="/>
  </w:docVars>
  <w:rsids>
    <w:rsidRoot w:val="2BE93BB7"/>
    <w:rsid w:val="00000D72"/>
    <w:rsid w:val="0000338B"/>
    <w:rsid w:val="000116B5"/>
    <w:rsid w:val="00014B58"/>
    <w:rsid w:val="00020562"/>
    <w:rsid w:val="000300A3"/>
    <w:rsid w:val="00032515"/>
    <w:rsid w:val="000372C0"/>
    <w:rsid w:val="00037594"/>
    <w:rsid w:val="00040A89"/>
    <w:rsid w:val="000433F7"/>
    <w:rsid w:val="000454A8"/>
    <w:rsid w:val="0004661E"/>
    <w:rsid w:val="00066320"/>
    <w:rsid w:val="000728CD"/>
    <w:rsid w:val="0007501B"/>
    <w:rsid w:val="00083EB7"/>
    <w:rsid w:val="00084610"/>
    <w:rsid w:val="0009344D"/>
    <w:rsid w:val="00095ABE"/>
    <w:rsid w:val="00095D68"/>
    <w:rsid w:val="00097391"/>
    <w:rsid w:val="00097F0F"/>
    <w:rsid w:val="000A5EF3"/>
    <w:rsid w:val="000A7033"/>
    <w:rsid w:val="000B3D43"/>
    <w:rsid w:val="000B7552"/>
    <w:rsid w:val="000C0174"/>
    <w:rsid w:val="000C5F6E"/>
    <w:rsid w:val="000C6E3E"/>
    <w:rsid w:val="000D158B"/>
    <w:rsid w:val="000D20F8"/>
    <w:rsid w:val="000D29D1"/>
    <w:rsid w:val="000D5570"/>
    <w:rsid w:val="000D6D41"/>
    <w:rsid w:val="000E016A"/>
    <w:rsid w:val="000E517C"/>
    <w:rsid w:val="000E60F5"/>
    <w:rsid w:val="000E7F6A"/>
    <w:rsid w:val="000F1C12"/>
    <w:rsid w:val="000F5D70"/>
    <w:rsid w:val="00100561"/>
    <w:rsid w:val="001006BB"/>
    <w:rsid w:val="00102588"/>
    <w:rsid w:val="001033E1"/>
    <w:rsid w:val="00106E10"/>
    <w:rsid w:val="0011169A"/>
    <w:rsid w:val="00112C37"/>
    <w:rsid w:val="00113C50"/>
    <w:rsid w:val="0011604E"/>
    <w:rsid w:val="00122252"/>
    <w:rsid w:val="00125F94"/>
    <w:rsid w:val="00126927"/>
    <w:rsid w:val="00126D4C"/>
    <w:rsid w:val="00126DE8"/>
    <w:rsid w:val="0013075D"/>
    <w:rsid w:val="00130824"/>
    <w:rsid w:val="00132FAB"/>
    <w:rsid w:val="00134216"/>
    <w:rsid w:val="00134822"/>
    <w:rsid w:val="0013572F"/>
    <w:rsid w:val="00137C8F"/>
    <w:rsid w:val="001439FB"/>
    <w:rsid w:val="001460FB"/>
    <w:rsid w:val="00153960"/>
    <w:rsid w:val="001550CE"/>
    <w:rsid w:val="0016108F"/>
    <w:rsid w:val="0016159E"/>
    <w:rsid w:val="00166732"/>
    <w:rsid w:val="00166EA7"/>
    <w:rsid w:val="00171347"/>
    <w:rsid w:val="00172C58"/>
    <w:rsid w:val="00172FD2"/>
    <w:rsid w:val="00174F5E"/>
    <w:rsid w:val="00176759"/>
    <w:rsid w:val="00180693"/>
    <w:rsid w:val="00182392"/>
    <w:rsid w:val="001856C3"/>
    <w:rsid w:val="00186B08"/>
    <w:rsid w:val="00191A2A"/>
    <w:rsid w:val="00194C9D"/>
    <w:rsid w:val="001A3D83"/>
    <w:rsid w:val="001A617B"/>
    <w:rsid w:val="001A7E53"/>
    <w:rsid w:val="001B20C5"/>
    <w:rsid w:val="001C001D"/>
    <w:rsid w:val="001C1B9C"/>
    <w:rsid w:val="001C2A3E"/>
    <w:rsid w:val="001C3AD3"/>
    <w:rsid w:val="001C4410"/>
    <w:rsid w:val="001D1C11"/>
    <w:rsid w:val="001D5812"/>
    <w:rsid w:val="001E4C6A"/>
    <w:rsid w:val="001E600E"/>
    <w:rsid w:val="001F14F6"/>
    <w:rsid w:val="001F20E5"/>
    <w:rsid w:val="001F51AE"/>
    <w:rsid w:val="001F5585"/>
    <w:rsid w:val="001F5E6D"/>
    <w:rsid w:val="001F7FC8"/>
    <w:rsid w:val="00200E0A"/>
    <w:rsid w:val="00201139"/>
    <w:rsid w:val="0020204B"/>
    <w:rsid w:val="0020471F"/>
    <w:rsid w:val="00205351"/>
    <w:rsid w:val="002068BA"/>
    <w:rsid w:val="00210072"/>
    <w:rsid w:val="002120D4"/>
    <w:rsid w:val="00213764"/>
    <w:rsid w:val="00216A04"/>
    <w:rsid w:val="00217BDA"/>
    <w:rsid w:val="00217E63"/>
    <w:rsid w:val="00222514"/>
    <w:rsid w:val="0022507A"/>
    <w:rsid w:val="0022537B"/>
    <w:rsid w:val="00226CAD"/>
    <w:rsid w:val="00234005"/>
    <w:rsid w:val="00234D5F"/>
    <w:rsid w:val="002372B9"/>
    <w:rsid w:val="00237A46"/>
    <w:rsid w:val="002402CC"/>
    <w:rsid w:val="00240DFB"/>
    <w:rsid w:val="00240EC8"/>
    <w:rsid w:val="00244B9A"/>
    <w:rsid w:val="002474DB"/>
    <w:rsid w:val="0025537F"/>
    <w:rsid w:val="00255EC8"/>
    <w:rsid w:val="00260DED"/>
    <w:rsid w:val="00267334"/>
    <w:rsid w:val="00270251"/>
    <w:rsid w:val="00270C70"/>
    <w:rsid w:val="00270E37"/>
    <w:rsid w:val="002730C0"/>
    <w:rsid w:val="00275D71"/>
    <w:rsid w:val="00277C50"/>
    <w:rsid w:val="0028075A"/>
    <w:rsid w:val="002855A6"/>
    <w:rsid w:val="00290F39"/>
    <w:rsid w:val="00293264"/>
    <w:rsid w:val="002942D5"/>
    <w:rsid w:val="00294A6A"/>
    <w:rsid w:val="00296B28"/>
    <w:rsid w:val="002A1D8F"/>
    <w:rsid w:val="002A3D1C"/>
    <w:rsid w:val="002A5A87"/>
    <w:rsid w:val="002B05D3"/>
    <w:rsid w:val="002B2F23"/>
    <w:rsid w:val="002B56FE"/>
    <w:rsid w:val="002C0A90"/>
    <w:rsid w:val="002C1F01"/>
    <w:rsid w:val="002D1C9B"/>
    <w:rsid w:val="002D5332"/>
    <w:rsid w:val="002D6340"/>
    <w:rsid w:val="002E665E"/>
    <w:rsid w:val="002F0E70"/>
    <w:rsid w:val="002F5B67"/>
    <w:rsid w:val="00300D6F"/>
    <w:rsid w:val="00302E71"/>
    <w:rsid w:val="003061E7"/>
    <w:rsid w:val="00306827"/>
    <w:rsid w:val="00307F73"/>
    <w:rsid w:val="0031083C"/>
    <w:rsid w:val="003124FC"/>
    <w:rsid w:val="003152B1"/>
    <w:rsid w:val="00315621"/>
    <w:rsid w:val="0031584C"/>
    <w:rsid w:val="00316205"/>
    <w:rsid w:val="003218CD"/>
    <w:rsid w:val="00324A23"/>
    <w:rsid w:val="00325198"/>
    <w:rsid w:val="003254C2"/>
    <w:rsid w:val="00325F7F"/>
    <w:rsid w:val="00326C31"/>
    <w:rsid w:val="0033113C"/>
    <w:rsid w:val="0033323E"/>
    <w:rsid w:val="00343EF8"/>
    <w:rsid w:val="00351B81"/>
    <w:rsid w:val="0035395B"/>
    <w:rsid w:val="003602DA"/>
    <w:rsid w:val="003605E7"/>
    <w:rsid w:val="00362E87"/>
    <w:rsid w:val="0036558C"/>
    <w:rsid w:val="00365E8F"/>
    <w:rsid w:val="0037333D"/>
    <w:rsid w:val="00375B52"/>
    <w:rsid w:val="0037731B"/>
    <w:rsid w:val="0038083F"/>
    <w:rsid w:val="003868F0"/>
    <w:rsid w:val="00390AAC"/>
    <w:rsid w:val="00393A0E"/>
    <w:rsid w:val="00395216"/>
    <w:rsid w:val="003952CD"/>
    <w:rsid w:val="00396009"/>
    <w:rsid w:val="003B09FC"/>
    <w:rsid w:val="003B1A0A"/>
    <w:rsid w:val="003B223E"/>
    <w:rsid w:val="003C1E62"/>
    <w:rsid w:val="003C4B19"/>
    <w:rsid w:val="003C51EC"/>
    <w:rsid w:val="003D0ECF"/>
    <w:rsid w:val="003D327F"/>
    <w:rsid w:val="003D39F8"/>
    <w:rsid w:val="003D520B"/>
    <w:rsid w:val="003E199C"/>
    <w:rsid w:val="003E5B72"/>
    <w:rsid w:val="003E6D24"/>
    <w:rsid w:val="003F303D"/>
    <w:rsid w:val="003F4770"/>
    <w:rsid w:val="003F580D"/>
    <w:rsid w:val="003F5CD1"/>
    <w:rsid w:val="003F65A7"/>
    <w:rsid w:val="003F72C0"/>
    <w:rsid w:val="003F77D4"/>
    <w:rsid w:val="00400EE0"/>
    <w:rsid w:val="0040618F"/>
    <w:rsid w:val="00407AF8"/>
    <w:rsid w:val="00410415"/>
    <w:rsid w:val="004112D4"/>
    <w:rsid w:val="004153F8"/>
    <w:rsid w:val="004160B6"/>
    <w:rsid w:val="004163F8"/>
    <w:rsid w:val="00422EB3"/>
    <w:rsid w:val="00423121"/>
    <w:rsid w:val="00423A33"/>
    <w:rsid w:val="00433AEE"/>
    <w:rsid w:val="00435936"/>
    <w:rsid w:val="00435F26"/>
    <w:rsid w:val="004507BB"/>
    <w:rsid w:val="004515C3"/>
    <w:rsid w:val="004526D1"/>
    <w:rsid w:val="00452779"/>
    <w:rsid w:val="00452E29"/>
    <w:rsid w:val="00455FB3"/>
    <w:rsid w:val="00460C90"/>
    <w:rsid w:val="00461056"/>
    <w:rsid w:val="0047012A"/>
    <w:rsid w:val="00471397"/>
    <w:rsid w:val="00472A2A"/>
    <w:rsid w:val="00476AF0"/>
    <w:rsid w:val="00477716"/>
    <w:rsid w:val="004800EF"/>
    <w:rsid w:val="00484B5D"/>
    <w:rsid w:val="00484C20"/>
    <w:rsid w:val="00485998"/>
    <w:rsid w:val="00485F5F"/>
    <w:rsid w:val="00487A44"/>
    <w:rsid w:val="004928E3"/>
    <w:rsid w:val="004A1A86"/>
    <w:rsid w:val="004A4B60"/>
    <w:rsid w:val="004B0953"/>
    <w:rsid w:val="004C24F0"/>
    <w:rsid w:val="004D390F"/>
    <w:rsid w:val="004D4E4B"/>
    <w:rsid w:val="004D580F"/>
    <w:rsid w:val="004E17AD"/>
    <w:rsid w:val="004F1726"/>
    <w:rsid w:val="00502AC4"/>
    <w:rsid w:val="00502DAF"/>
    <w:rsid w:val="005069DC"/>
    <w:rsid w:val="00506FDE"/>
    <w:rsid w:val="005162AC"/>
    <w:rsid w:val="00517CCA"/>
    <w:rsid w:val="005204C1"/>
    <w:rsid w:val="0052093F"/>
    <w:rsid w:val="0052191A"/>
    <w:rsid w:val="00521FC9"/>
    <w:rsid w:val="00522615"/>
    <w:rsid w:val="00527642"/>
    <w:rsid w:val="00531882"/>
    <w:rsid w:val="005326D5"/>
    <w:rsid w:val="00537F62"/>
    <w:rsid w:val="0054170A"/>
    <w:rsid w:val="0054311E"/>
    <w:rsid w:val="00543983"/>
    <w:rsid w:val="005456F5"/>
    <w:rsid w:val="005459B8"/>
    <w:rsid w:val="00546BE7"/>
    <w:rsid w:val="0055021E"/>
    <w:rsid w:val="0055241C"/>
    <w:rsid w:val="00557E72"/>
    <w:rsid w:val="0056283F"/>
    <w:rsid w:val="00564D3A"/>
    <w:rsid w:val="0057010B"/>
    <w:rsid w:val="00570124"/>
    <w:rsid w:val="005707DA"/>
    <w:rsid w:val="00575437"/>
    <w:rsid w:val="00576DD2"/>
    <w:rsid w:val="005779E8"/>
    <w:rsid w:val="00582113"/>
    <w:rsid w:val="0059133B"/>
    <w:rsid w:val="00592067"/>
    <w:rsid w:val="005957C4"/>
    <w:rsid w:val="00596677"/>
    <w:rsid w:val="00596EAF"/>
    <w:rsid w:val="005A106A"/>
    <w:rsid w:val="005A19A3"/>
    <w:rsid w:val="005A3463"/>
    <w:rsid w:val="005A4B2D"/>
    <w:rsid w:val="005A5087"/>
    <w:rsid w:val="005A7927"/>
    <w:rsid w:val="005B0591"/>
    <w:rsid w:val="005B51B3"/>
    <w:rsid w:val="005C4D63"/>
    <w:rsid w:val="005C5470"/>
    <w:rsid w:val="005C57DF"/>
    <w:rsid w:val="005D0D2D"/>
    <w:rsid w:val="005D638C"/>
    <w:rsid w:val="005E1993"/>
    <w:rsid w:val="005E372D"/>
    <w:rsid w:val="005E70D4"/>
    <w:rsid w:val="005F1B8F"/>
    <w:rsid w:val="005F2B4A"/>
    <w:rsid w:val="005F7C2E"/>
    <w:rsid w:val="00601DF1"/>
    <w:rsid w:val="006059EE"/>
    <w:rsid w:val="00606F17"/>
    <w:rsid w:val="006110C8"/>
    <w:rsid w:val="00611E74"/>
    <w:rsid w:val="00612771"/>
    <w:rsid w:val="00614760"/>
    <w:rsid w:val="00614A08"/>
    <w:rsid w:val="00615A05"/>
    <w:rsid w:val="00616A2C"/>
    <w:rsid w:val="00623180"/>
    <w:rsid w:val="0062424A"/>
    <w:rsid w:val="00626F54"/>
    <w:rsid w:val="00630180"/>
    <w:rsid w:val="006310CB"/>
    <w:rsid w:val="0063278A"/>
    <w:rsid w:val="006356E0"/>
    <w:rsid w:val="00640761"/>
    <w:rsid w:val="00641A2E"/>
    <w:rsid w:val="006444A5"/>
    <w:rsid w:val="006479C7"/>
    <w:rsid w:val="00651BC4"/>
    <w:rsid w:val="00651FE9"/>
    <w:rsid w:val="00652782"/>
    <w:rsid w:val="00652B5D"/>
    <w:rsid w:val="006542CB"/>
    <w:rsid w:val="00656283"/>
    <w:rsid w:val="00656BC1"/>
    <w:rsid w:val="00665374"/>
    <w:rsid w:val="0067195C"/>
    <w:rsid w:val="00674F6B"/>
    <w:rsid w:val="006754B4"/>
    <w:rsid w:val="006820E5"/>
    <w:rsid w:val="006930E1"/>
    <w:rsid w:val="00696714"/>
    <w:rsid w:val="006A185C"/>
    <w:rsid w:val="006A2543"/>
    <w:rsid w:val="006B04C6"/>
    <w:rsid w:val="006B2569"/>
    <w:rsid w:val="006B45ED"/>
    <w:rsid w:val="006B54B0"/>
    <w:rsid w:val="006B5514"/>
    <w:rsid w:val="006B6714"/>
    <w:rsid w:val="006B685B"/>
    <w:rsid w:val="006C13FC"/>
    <w:rsid w:val="006C1711"/>
    <w:rsid w:val="006C35BD"/>
    <w:rsid w:val="006C5BAB"/>
    <w:rsid w:val="006D29C6"/>
    <w:rsid w:val="006D6731"/>
    <w:rsid w:val="006E0A31"/>
    <w:rsid w:val="007047D2"/>
    <w:rsid w:val="00704932"/>
    <w:rsid w:val="007049FC"/>
    <w:rsid w:val="007055E4"/>
    <w:rsid w:val="0071137E"/>
    <w:rsid w:val="00712597"/>
    <w:rsid w:val="00714075"/>
    <w:rsid w:val="00717042"/>
    <w:rsid w:val="00717F43"/>
    <w:rsid w:val="0072133C"/>
    <w:rsid w:val="00722A51"/>
    <w:rsid w:val="007231B3"/>
    <w:rsid w:val="00725511"/>
    <w:rsid w:val="00732648"/>
    <w:rsid w:val="00735794"/>
    <w:rsid w:val="0074104C"/>
    <w:rsid w:val="0075156A"/>
    <w:rsid w:val="007543C2"/>
    <w:rsid w:val="00763701"/>
    <w:rsid w:val="00763F61"/>
    <w:rsid w:val="00764BA4"/>
    <w:rsid w:val="00764FE3"/>
    <w:rsid w:val="00767087"/>
    <w:rsid w:val="00767B86"/>
    <w:rsid w:val="007702AD"/>
    <w:rsid w:val="00772E4C"/>
    <w:rsid w:val="00773069"/>
    <w:rsid w:val="00773B69"/>
    <w:rsid w:val="0077404E"/>
    <w:rsid w:val="00776F7B"/>
    <w:rsid w:val="0077761C"/>
    <w:rsid w:val="00784A6F"/>
    <w:rsid w:val="00786C95"/>
    <w:rsid w:val="0078764F"/>
    <w:rsid w:val="0079421D"/>
    <w:rsid w:val="007963B4"/>
    <w:rsid w:val="007A0935"/>
    <w:rsid w:val="007A2D6F"/>
    <w:rsid w:val="007A5116"/>
    <w:rsid w:val="007A5154"/>
    <w:rsid w:val="007A66A3"/>
    <w:rsid w:val="007B2116"/>
    <w:rsid w:val="007B40E4"/>
    <w:rsid w:val="007B6409"/>
    <w:rsid w:val="007B7E4A"/>
    <w:rsid w:val="007C2B22"/>
    <w:rsid w:val="007C79D0"/>
    <w:rsid w:val="007D25E5"/>
    <w:rsid w:val="007D52E4"/>
    <w:rsid w:val="007D7370"/>
    <w:rsid w:val="007E33D0"/>
    <w:rsid w:val="007E6FE2"/>
    <w:rsid w:val="007F4888"/>
    <w:rsid w:val="007F5C85"/>
    <w:rsid w:val="00802B5C"/>
    <w:rsid w:val="0080314B"/>
    <w:rsid w:val="0080327D"/>
    <w:rsid w:val="0080446E"/>
    <w:rsid w:val="008060D4"/>
    <w:rsid w:val="00817C19"/>
    <w:rsid w:val="00821860"/>
    <w:rsid w:val="00824AF2"/>
    <w:rsid w:val="0082510C"/>
    <w:rsid w:val="0082538C"/>
    <w:rsid w:val="008263B0"/>
    <w:rsid w:val="00833A5D"/>
    <w:rsid w:val="00836CDE"/>
    <w:rsid w:val="00845FB3"/>
    <w:rsid w:val="0085523F"/>
    <w:rsid w:val="0086210A"/>
    <w:rsid w:val="00866AB3"/>
    <w:rsid w:val="00875452"/>
    <w:rsid w:val="00880FC3"/>
    <w:rsid w:val="00881FEF"/>
    <w:rsid w:val="008861FF"/>
    <w:rsid w:val="00887214"/>
    <w:rsid w:val="00890986"/>
    <w:rsid w:val="00891150"/>
    <w:rsid w:val="00892AAB"/>
    <w:rsid w:val="008A2F92"/>
    <w:rsid w:val="008A4305"/>
    <w:rsid w:val="008A6342"/>
    <w:rsid w:val="008B3769"/>
    <w:rsid w:val="008B6E7D"/>
    <w:rsid w:val="008C423D"/>
    <w:rsid w:val="008C5CBB"/>
    <w:rsid w:val="008D097E"/>
    <w:rsid w:val="008D1FA0"/>
    <w:rsid w:val="008D5A40"/>
    <w:rsid w:val="008D71CF"/>
    <w:rsid w:val="008E047A"/>
    <w:rsid w:val="008E21B9"/>
    <w:rsid w:val="008E2934"/>
    <w:rsid w:val="008E2BA7"/>
    <w:rsid w:val="008E4AF3"/>
    <w:rsid w:val="008E5761"/>
    <w:rsid w:val="008E6C59"/>
    <w:rsid w:val="008F0885"/>
    <w:rsid w:val="008F1189"/>
    <w:rsid w:val="008F1A44"/>
    <w:rsid w:val="00913764"/>
    <w:rsid w:val="00917B20"/>
    <w:rsid w:val="00922B06"/>
    <w:rsid w:val="00930948"/>
    <w:rsid w:val="00930EF7"/>
    <w:rsid w:val="00932480"/>
    <w:rsid w:val="00936512"/>
    <w:rsid w:val="00942C5E"/>
    <w:rsid w:val="00947998"/>
    <w:rsid w:val="009514BD"/>
    <w:rsid w:val="0095277B"/>
    <w:rsid w:val="00953972"/>
    <w:rsid w:val="00961B9B"/>
    <w:rsid w:val="00971CA8"/>
    <w:rsid w:val="00975A7C"/>
    <w:rsid w:val="00975B4A"/>
    <w:rsid w:val="00977E89"/>
    <w:rsid w:val="009851FE"/>
    <w:rsid w:val="0099483A"/>
    <w:rsid w:val="0099650D"/>
    <w:rsid w:val="00996ED8"/>
    <w:rsid w:val="009A2996"/>
    <w:rsid w:val="009A3714"/>
    <w:rsid w:val="009A4C00"/>
    <w:rsid w:val="009A5F3C"/>
    <w:rsid w:val="009A72A4"/>
    <w:rsid w:val="009B10FA"/>
    <w:rsid w:val="009B18EF"/>
    <w:rsid w:val="009B1EB6"/>
    <w:rsid w:val="009B3A36"/>
    <w:rsid w:val="009B4B9B"/>
    <w:rsid w:val="009B6EF4"/>
    <w:rsid w:val="009C2DFE"/>
    <w:rsid w:val="009C434D"/>
    <w:rsid w:val="009C67CE"/>
    <w:rsid w:val="009D0ADE"/>
    <w:rsid w:val="009D7625"/>
    <w:rsid w:val="009E0D8C"/>
    <w:rsid w:val="009E461E"/>
    <w:rsid w:val="009E4661"/>
    <w:rsid w:val="009E56A6"/>
    <w:rsid w:val="009E5DC4"/>
    <w:rsid w:val="009E6551"/>
    <w:rsid w:val="009E716E"/>
    <w:rsid w:val="009E73D4"/>
    <w:rsid w:val="009E7628"/>
    <w:rsid w:val="009F111E"/>
    <w:rsid w:val="009F1407"/>
    <w:rsid w:val="00A00A70"/>
    <w:rsid w:val="00A0129C"/>
    <w:rsid w:val="00A03DDB"/>
    <w:rsid w:val="00A05972"/>
    <w:rsid w:val="00A05E37"/>
    <w:rsid w:val="00A05EAA"/>
    <w:rsid w:val="00A066EA"/>
    <w:rsid w:val="00A06D37"/>
    <w:rsid w:val="00A10B8F"/>
    <w:rsid w:val="00A13C8D"/>
    <w:rsid w:val="00A150F1"/>
    <w:rsid w:val="00A16576"/>
    <w:rsid w:val="00A1746F"/>
    <w:rsid w:val="00A302F9"/>
    <w:rsid w:val="00A32BC1"/>
    <w:rsid w:val="00A35121"/>
    <w:rsid w:val="00A3535B"/>
    <w:rsid w:val="00A3632D"/>
    <w:rsid w:val="00A37E4B"/>
    <w:rsid w:val="00A4216B"/>
    <w:rsid w:val="00A43B04"/>
    <w:rsid w:val="00A43CCC"/>
    <w:rsid w:val="00A4785F"/>
    <w:rsid w:val="00A50906"/>
    <w:rsid w:val="00A537EE"/>
    <w:rsid w:val="00A60AA1"/>
    <w:rsid w:val="00A61F93"/>
    <w:rsid w:val="00A6468A"/>
    <w:rsid w:val="00A74B16"/>
    <w:rsid w:val="00A75160"/>
    <w:rsid w:val="00A771A8"/>
    <w:rsid w:val="00A81A2D"/>
    <w:rsid w:val="00A844F3"/>
    <w:rsid w:val="00A845DB"/>
    <w:rsid w:val="00A86D71"/>
    <w:rsid w:val="00A905BE"/>
    <w:rsid w:val="00A91CE1"/>
    <w:rsid w:val="00A9229E"/>
    <w:rsid w:val="00AA10C9"/>
    <w:rsid w:val="00AA3217"/>
    <w:rsid w:val="00AA58BC"/>
    <w:rsid w:val="00AB1BD2"/>
    <w:rsid w:val="00AB261A"/>
    <w:rsid w:val="00AB3FF1"/>
    <w:rsid w:val="00AC1337"/>
    <w:rsid w:val="00AC527B"/>
    <w:rsid w:val="00AD1880"/>
    <w:rsid w:val="00AD2243"/>
    <w:rsid w:val="00AD312D"/>
    <w:rsid w:val="00AE13A9"/>
    <w:rsid w:val="00AE2012"/>
    <w:rsid w:val="00AE2457"/>
    <w:rsid w:val="00AE433F"/>
    <w:rsid w:val="00AF0699"/>
    <w:rsid w:val="00AF0C22"/>
    <w:rsid w:val="00AF613C"/>
    <w:rsid w:val="00AF7825"/>
    <w:rsid w:val="00B01B3C"/>
    <w:rsid w:val="00B0351A"/>
    <w:rsid w:val="00B05DBB"/>
    <w:rsid w:val="00B06442"/>
    <w:rsid w:val="00B11E95"/>
    <w:rsid w:val="00B13BDA"/>
    <w:rsid w:val="00B145D6"/>
    <w:rsid w:val="00B149AD"/>
    <w:rsid w:val="00B17401"/>
    <w:rsid w:val="00B25F8A"/>
    <w:rsid w:val="00B264BE"/>
    <w:rsid w:val="00B26AF7"/>
    <w:rsid w:val="00B274B9"/>
    <w:rsid w:val="00B328E4"/>
    <w:rsid w:val="00B35A29"/>
    <w:rsid w:val="00B3734B"/>
    <w:rsid w:val="00B466A6"/>
    <w:rsid w:val="00B50CFE"/>
    <w:rsid w:val="00B513F1"/>
    <w:rsid w:val="00B54E8D"/>
    <w:rsid w:val="00B55A36"/>
    <w:rsid w:val="00B6279C"/>
    <w:rsid w:val="00B67175"/>
    <w:rsid w:val="00B672F9"/>
    <w:rsid w:val="00B673D7"/>
    <w:rsid w:val="00B70E2A"/>
    <w:rsid w:val="00B84935"/>
    <w:rsid w:val="00B8540D"/>
    <w:rsid w:val="00B902A2"/>
    <w:rsid w:val="00B90749"/>
    <w:rsid w:val="00B91D2E"/>
    <w:rsid w:val="00B921B9"/>
    <w:rsid w:val="00B92690"/>
    <w:rsid w:val="00B97274"/>
    <w:rsid w:val="00B97C45"/>
    <w:rsid w:val="00BA0F41"/>
    <w:rsid w:val="00BA40FE"/>
    <w:rsid w:val="00BA5932"/>
    <w:rsid w:val="00BA6736"/>
    <w:rsid w:val="00BB3AFD"/>
    <w:rsid w:val="00BC007E"/>
    <w:rsid w:val="00BC1803"/>
    <w:rsid w:val="00BC52FE"/>
    <w:rsid w:val="00BC6CDE"/>
    <w:rsid w:val="00BC6FFF"/>
    <w:rsid w:val="00BD176E"/>
    <w:rsid w:val="00BD19EE"/>
    <w:rsid w:val="00BD4DB3"/>
    <w:rsid w:val="00BD7966"/>
    <w:rsid w:val="00BE18FD"/>
    <w:rsid w:val="00BE1FEC"/>
    <w:rsid w:val="00BE22AA"/>
    <w:rsid w:val="00BE26E6"/>
    <w:rsid w:val="00BE4ED4"/>
    <w:rsid w:val="00BE7FF9"/>
    <w:rsid w:val="00C017E3"/>
    <w:rsid w:val="00C1079C"/>
    <w:rsid w:val="00C11817"/>
    <w:rsid w:val="00C165A8"/>
    <w:rsid w:val="00C23587"/>
    <w:rsid w:val="00C23860"/>
    <w:rsid w:val="00C2489B"/>
    <w:rsid w:val="00C25250"/>
    <w:rsid w:val="00C25C90"/>
    <w:rsid w:val="00C26247"/>
    <w:rsid w:val="00C27605"/>
    <w:rsid w:val="00C27D14"/>
    <w:rsid w:val="00C32A4C"/>
    <w:rsid w:val="00C341EB"/>
    <w:rsid w:val="00C42174"/>
    <w:rsid w:val="00C44A41"/>
    <w:rsid w:val="00C44EC1"/>
    <w:rsid w:val="00C53D25"/>
    <w:rsid w:val="00C5667B"/>
    <w:rsid w:val="00C56698"/>
    <w:rsid w:val="00C60D07"/>
    <w:rsid w:val="00C63F2F"/>
    <w:rsid w:val="00C64D25"/>
    <w:rsid w:val="00C67E98"/>
    <w:rsid w:val="00C772ED"/>
    <w:rsid w:val="00C77DE0"/>
    <w:rsid w:val="00C81EBF"/>
    <w:rsid w:val="00C8236D"/>
    <w:rsid w:val="00C85561"/>
    <w:rsid w:val="00C875AF"/>
    <w:rsid w:val="00C87960"/>
    <w:rsid w:val="00C910AB"/>
    <w:rsid w:val="00C91B0F"/>
    <w:rsid w:val="00C954CD"/>
    <w:rsid w:val="00C95A65"/>
    <w:rsid w:val="00C9665B"/>
    <w:rsid w:val="00C97EE7"/>
    <w:rsid w:val="00CA0C22"/>
    <w:rsid w:val="00CA32D3"/>
    <w:rsid w:val="00CA4411"/>
    <w:rsid w:val="00CA4D6D"/>
    <w:rsid w:val="00CB0DBC"/>
    <w:rsid w:val="00CB31A3"/>
    <w:rsid w:val="00CB3F7B"/>
    <w:rsid w:val="00CB4B7C"/>
    <w:rsid w:val="00CB5353"/>
    <w:rsid w:val="00CC5317"/>
    <w:rsid w:val="00CD3380"/>
    <w:rsid w:val="00CD4F3E"/>
    <w:rsid w:val="00CD668E"/>
    <w:rsid w:val="00CD7E51"/>
    <w:rsid w:val="00CE0547"/>
    <w:rsid w:val="00CE16F8"/>
    <w:rsid w:val="00CE1FC6"/>
    <w:rsid w:val="00CE4982"/>
    <w:rsid w:val="00CE6FC8"/>
    <w:rsid w:val="00CE72EA"/>
    <w:rsid w:val="00CF00D8"/>
    <w:rsid w:val="00CF0A25"/>
    <w:rsid w:val="00CF24A0"/>
    <w:rsid w:val="00CF25B3"/>
    <w:rsid w:val="00CF58B0"/>
    <w:rsid w:val="00CF6D47"/>
    <w:rsid w:val="00D00693"/>
    <w:rsid w:val="00D037D3"/>
    <w:rsid w:val="00D03E5A"/>
    <w:rsid w:val="00D0519F"/>
    <w:rsid w:val="00D06BAF"/>
    <w:rsid w:val="00D11E57"/>
    <w:rsid w:val="00D12FE6"/>
    <w:rsid w:val="00D1398F"/>
    <w:rsid w:val="00D1421C"/>
    <w:rsid w:val="00D14BA5"/>
    <w:rsid w:val="00D20006"/>
    <w:rsid w:val="00D2028F"/>
    <w:rsid w:val="00D219FA"/>
    <w:rsid w:val="00D22D9C"/>
    <w:rsid w:val="00D243CF"/>
    <w:rsid w:val="00D248D8"/>
    <w:rsid w:val="00D27318"/>
    <w:rsid w:val="00D309D6"/>
    <w:rsid w:val="00D31A1E"/>
    <w:rsid w:val="00D35FE6"/>
    <w:rsid w:val="00D469F2"/>
    <w:rsid w:val="00D609F8"/>
    <w:rsid w:val="00D60E29"/>
    <w:rsid w:val="00D61339"/>
    <w:rsid w:val="00D6258D"/>
    <w:rsid w:val="00D660B5"/>
    <w:rsid w:val="00D665AE"/>
    <w:rsid w:val="00D83B72"/>
    <w:rsid w:val="00D86928"/>
    <w:rsid w:val="00D869EC"/>
    <w:rsid w:val="00D8716F"/>
    <w:rsid w:val="00D90011"/>
    <w:rsid w:val="00D90C95"/>
    <w:rsid w:val="00D92CAC"/>
    <w:rsid w:val="00D936AD"/>
    <w:rsid w:val="00D944A0"/>
    <w:rsid w:val="00D95C69"/>
    <w:rsid w:val="00D95E9B"/>
    <w:rsid w:val="00DB2BF2"/>
    <w:rsid w:val="00DB352C"/>
    <w:rsid w:val="00DC27CA"/>
    <w:rsid w:val="00DC2C7B"/>
    <w:rsid w:val="00DC4855"/>
    <w:rsid w:val="00DD079F"/>
    <w:rsid w:val="00DD4B8B"/>
    <w:rsid w:val="00DD774E"/>
    <w:rsid w:val="00DE40D6"/>
    <w:rsid w:val="00DE4DF4"/>
    <w:rsid w:val="00DF0391"/>
    <w:rsid w:val="00DF0B5A"/>
    <w:rsid w:val="00DF4575"/>
    <w:rsid w:val="00DF4FBF"/>
    <w:rsid w:val="00E0196C"/>
    <w:rsid w:val="00E02452"/>
    <w:rsid w:val="00E12942"/>
    <w:rsid w:val="00E16CAE"/>
    <w:rsid w:val="00E22F29"/>
    <w:rsid w:val="00E2496C"/>
    <w:rsid w:val="00E25608"/>
    <w:rsid w:val="00E25B84"/>
    <w:rsid w:val="00E3030D"/>
    <w:rsid w:val="00E3468A"/>
    <w:rsid w:val="00E34A7E"/>
    <w:rsid w:val="00E35162"/>
    <w:rsid w:val="00E3651C"/>
    <w:rsid w:val="00E365DA"/>
    <w:rsid w:val="00E366D4"/>
    <w:rsid w:val="00E3776E"/>
    <w:rsid w:val="00E41335"/>
    <w:rsid w:val="00E508BC"/>
    <w:rsid w:val="00E53835"/>
    <w:rsid w:val="00E551CF"/>
    <w:rsid w:val="00E56193"/>
    <w:rsid w:val="00E57C4A"/>
    <w:rsid w:val="00E6154B"/>
    <w:rsid w:val="00E6253B"/>
    <w:rsid w:val="00E62B19"/>
    <w:rsid w:val="00E647B9"/>
    <w:rsid w:val="00E759A5"/>
    <w:rsid w:val="00E82442"/>
    <w:rsid w:val="00E908E5"/>
    <w:rsid w:val="00E91B14"/>
    <w:rsid w:val="00E91D8D"/>
    <w:rsid w:val="00E93C8D"/>
    <w:rsid w:val="00EA14E1"/>
    <w:rsid w:val="00EA32B0"/>
    <w:rsid w:val="00EA5F78"/>
    <w:rsid w:val="00EA6ADC"/>
    <w:rsid w:val="00EB56B2"/>
    <w:rsid w:val="00EB5D83"/>
    <w:rsid w:val="00EB609B"/>
    <w:rsid w:val="00EB6477"/>
    <w:rsid w:val="00EB6890"/>
    <w:rsid w:val="00EB7FAE"/>
    <w:rsid w:val="00EC63DB"/>
    <w:rsid w:val="00EC68B1"/>
    <w:rsid w:val="00EC6CC3"/>
    <w:rsid w:val="00EC74A3"/>
    <w:rsid w:val="00ED05C4"/>
    <w:rsid w:val="00ED25EA"/>
    <w:rsid w:val="00ED4BE0"/>
    <w:rsid w:val="00ED6BA1"/>
    <w:rsid w:val="00EE12BD"/>
    <w:rsid w:val="00EE1698"/>
    <w:rsid w:val="00EE2D83"/>
    <w:rsid w:val="00EE55C3"/>
    <w:rsid w:val="00EF0EA6"/>
    <w:rsid w:val="00EF47D3"/>
    <w:rsid w:val="00F0070C"/>
    <w:rsid w:val="00F02112"/>
    <w:rsid w:val="00F02CB2"/>
    <w:rsid w:val="00F032E9"/>
    <w:rsid w:val="00F044E8"/>
    <w:rsid w:val="00F05AFE"/>
    <w:rsid w:val="00F06D6C"/>
    <w:rsid w:val="00F1147B"/>
    <w:rsid w:val="00F13F7D"/>
    <w:rsid w:val="00F14B3E"/>
    <w:rsid w:val="00F2212A"/>
    <w:rsid w:val="00F22BBB"/>
    <w:rsid w:val="00F248A0"/>
    <w:rsid w:val="00F31672"/>
    <w:rsid w:val="00F40A57"/>
    <w:rsid w:val="00F43966"/>
    <w:rsid w:val="00F44EB7"/>
    <w:rsid w:val="00F506C4"/>
    <w:rsid w:val="00F53F2A"/>
    <w:rsid w:val="00F55121"/>
    <w:rsid w:val="00F57C61"/>
    <w:rsid w:val="00F638B5"/>
    <w:rsid w:val="00F642E1"/>
    <w:rsid w:val="00F651B5"/>
    <w:rsid w:val="00F7211E"/>
    <w:rsid w:val="00F734D3"/>
    <w:rsid w:val="00F75323"/>
    <w:rsid w:val="00F77EAA"/>
    <w:rsid w:val="00F82A63"/>
    <w:rsid w:val="00F83770"/>
    <w:rsid w:val="00F84606"/>
    <w:rsid w:val="00F87B6B"/>
    <w:rsid w:val="00F90780"/>
    <w:rsid w:val="00F94530"/>
    <w:rsid w:val="00F945A9"/>
    <w:rsid w:val="00FA43EF"/>
    <w:rsid w:val="00FA4B4F"/>
    <w:rsid w:val="00FA4F24"/>
    <w:rsid w:val="00FA6A17"/>
    <w:rsid w:val="00FA71EA"/>
    <w:rsid w:val="00FB1103"/>
    <w:rsid w:val="00FB2187"/>
    <w:rsid w:val="00FB5B20"/>
    <w:rsid w:val="00FC1D19"/>
    <w:rsid w:val="00FC51D0"/>
    <w:rsid w:val="00FC6165"/>
    <w:rsid w:val="00FC6B97"/>
    <w:rsid w:val="00FC7CA4"/>
    <w:rsid w:val="00FD1E8E"/>
    <w:rsid w:val="00FD2ABA"/>
    <w:rsid w:val="00FD34BD"/>
    <w:rsid w:val="00FD3F7C"/>
    <w:rsid w:val="00FD4476"/>
    <w:rsid w:val="00FD55FC"/>
    <w:rsid w:val="00FD5A96"/>
    <w:rsid w:val="00FE4FF2"/>
    <w:rsid w:val="00FF2AAA"/>
    <w:rsid w:val="00FF32FD"/>
    <w:rsid w:val="00FF6729"/>
    <w:rsid w:val="00FF7080"/>
    <w:rsid w:val="01245BEB"/>
    <w:rsid w:val="013B1B58"/>
    <w:rsid w:val="015B5ADA"/>
    <w:rsid w:val="016A49B1"/>
    <w:rsid w:val="01730020"/>
    <w:rsid w:val="017E600C"/>
    <w:rsid w:val="018659CA"/>
    <w:rsid w:val="019E0328"/>
    <w:rsid w:val="01C12D6A"/>
    <w:rsid w:val="01E4672C"/>
    <w:rsid w:val="01F81F29"/>
    <w:rsid w:val="0207564F"/>
    <w:rsid w:val="020769B5"/>
    <w:rsid w:val="021E6550"/>
    <w:rsid w:val="02484343"/>
    <w:rsid w:val="02546737"/>
    <w:rsid w:val="025D56FB"/>
    <w:rsid w:val="02665320"/>
    <w:rsid w:val="02A63023"/>
    <w:rsid w:val="02A92ECA"/>
    <w:rsid w:val="02AF2D66"/>
    <w:rsid w:val="02B42435"/>
    <w:rsid w:val="02C614C7"/>
    <w:rsid w:val="02E80079"/>
    <w:rsid w:val="031607B0"/>
    <w:rsid w:val="03172955"/>
    <w:rsid w:val="03187CC6"/>
    <w:rsid w:val="03206E7F"/>
    <w:rsid w:val="035A33A1"/>
    <w:rsid w:val="03927D59"/>
    <w:rsid w:val="03936A52"/>
    <w:rsid w:val="03AB5CEB"/>
    <w:rsid w:val="03BB7EF7"/>
    <w:rsid w:val="03BC7CA2"/>
    <w:rsid w:val="03FD11A8"/>
    <w:rsid w:val="04027221"/>
    <w:rsid w:val="04063BC7"/>
    <w:rsid w:val="040644E4"/>
    <w:rsid w:val="040F5AA8"/>
    <w:rsid w:val="041E383E"/>
    <w:rsid w:val="042157E8"/>
    <w:rsid w:val="04382BAD"/>
    <w:rsid w:val="04404869"/>
    <w:rsid w:val="04424F77"/>
    <w:rsid w:val="045F4A68"/>
    <w:rsid w:val="04785FCC"/>
    <w:rsid w:val="048541D1"/>
    <w:rsid w:val="04C356D9"/>
    <w:rsid w:val="04CA62B6"/>
    <w:rsid w:val="04CF6E10"/>
    <w:rsid w:val="04D54CFE"/>
    <w:rsid w:val="04DB0D8A"/>
    <w:rsid w:val="05090725"/>
    <w:rsid w:val="050B272C"/>
    <w:rsid w:val="050E4580"/>
    <w:rsid w:val="05142659"/>
    <w:rsid w:val="051673FF"/>
    <w:rsid w:val="05201524"/>
    <w:rsid w:val="05287044"/>
    <w:rsid w:val="05365035"/>
    <w:rsid w:val="05386364"/>
    <w:rsid w:val="05584257"/>
    <w:rsid w:val="056062C9"/>
    <w:rsid w:val="058D7D1B"/>
    <w:rsid w:val="05AE7D53"/>
    <w:rsid w:val="05CB0A3A"/>
    <w:rsid w:val="05CC1AF1"/>
    <w:rsid w:val="05DE6903"/>
    <w:rsid w:val="05E0008D"/>
    <w:rsid w:val="05E47AA1"/>
    <w:rsid w:val="06033FA1"/>
    <w:rsid w:val="062F760D"/>
    <w:rsid w:val="06326D0D"/>
    <w:rsid w:val="064F5C5F"/>
    <w:rsid w:val="067B19F2"/>
    <w:rsid w:val="0690265E"/>
    <w:rsid w:val="06B20E2C"/>
    <w:rsid w:val="06DA3754"/>
    <w:rsid w:val="06EC1C4C"/>
    <w:rsid w:val="06F67368"/>
    <w:rsid w:val="0728238B"/>
    <w:rsid w:val="076E296B"/>
    <w:rsid w:val="076E3F19"/>
    <w:rsid w:val="078BFFB6"/>
    <w:rsid w:val="079A6BEB"/>
    <w:rsid w:val="07EA6745"/>
    <w:rsid w:val="07FB6276"/>
    <w:rsid w:val="08036567"/>
    <w:rsid w:val="082823ED"/>
    <w:rsid w:val="08292A4D"/>
    <w:rsid w:val="084330A2"/>
    <w:rsid w:val="08490D5C"/>
    <w:rsid w:val="085A0080"/>
    <w:rsid w:val="088836ED"/>
    <w:rsid w:val="088E626A"/>
    <w:rsid w:val="0894192B"/>
    <w:rsid w:val="08A4177A"/>
    <w:rsid w:val="08B22CCC"/>
    <w:rsid w:val="08D831EF"/>
    <w:rsid w:val="08E76C05"/>
    <w:rsid w:val="09066D33"/>
    <w:rsid w:val="0909224B"/>
    <w:rsid w:val="09174CBA"/>
    <w:rsid w:val="095D7583"/>
    <w:rsid w:val="099F3DC1"/>
    <w:rsid w:val="09A22896"/>
    <w:rsid w:val="09AE66D7"/>
    <w:rsid w:val="09BE45A4"/>
    <w:rsid w:val="09FA68E5"/>
    <w:rsid w:val="0A2048A8"/>
    <w:rsid w:val="0A245AA5"/>
    <w:rsid w:val="0A2D7CA5"/>
    <w:rsid w:val="0A2F1975"/>
    <w:rsid w:val="0A3850CC"/>
    <w:rsid w:val="0A3B520A"/>
    <w:rsid w:val="0A543023"/>
    <w:rsid w:val="0A692965"/>
    <w:rsid w:val="0A7031E9"/>
    <w:rsid w:val="0A9B5B13"/>
    <w:rsid w:val="0AB00222"/>
    <w:rsid w:val="0AB863FC"/>
    <w:rsid w:val="0ABB6C37"/>
    <w:rsid w:val="0ACA0FBE"/>
    <w:rsid w:val="0B013013"/>
    <w:rsid w:val="0B0E519A"/>
    <w:rsid w:val="0B3866F3"/>
    <w:rsid w:val="0B396AEF"/>
    <w:rsid w:val="0B4169C6"/>
    <w:rsid w:val="0B4C3F2F"/>
    <w:rsid w:val="0B5C216E"/>
    <w:rsid w:val="0B802526"/>
    <w:rsid w:val="0B856240"/>
    <w:rsid w:val="0B8A178C"/>
    <w:rsid w:val="0BB04C54"/>
    <w:rsid w:val="0BB12ACD"/>
    <w:rsid w:val="0BB300E4"/>
    <w:rsid w:val="0BF96C6A"/>
    <w:rsid w:val="0BFA15F7"/>
    <w:rsid w:val="0BFE16A8"/>
    <w:rsid w:val="0C281202"/>
    <w:rsid w:val="0C304F5F"/>
    <w:rsid w:val="0C525B84"/>
    <w:rsid w:val="0C526AA8"/>
    <w:rsid w:val="0C632096"/>
    <w:rsid w:val="0C89006F"/>
    <w:rsid w:val="0CE05074"/>
    <w:rsid w:val="0CE877EC"/>
    <w:rsid w:val="0D0E69BD"/>
    <w:rsid w:val="0D3F6B82"/>
    <w:rsid w:val="0D4470A8"/>
    <w:rsid w:val="0D5A2353"/>
    <w:rsid w:val="0D79615E"/>
    <w:rsid w:val="0DCA61FC"/>
    <w:rsid w:val="0DD659C4"/>
    <w:rsid w:val="0DDB2635"/>
    <w:rsid w:val="0E014DDA"/>
    <w:rsid w:val="0E173FDB"/>
    <w:rsid w:val="0E363FB8"/>
    <w:rsid w:val="0E3D5D98"/>
    <w:rsid w:val="0E711D32"/>
    <w:rsid w:val="0E7936B5"/>
    <w:rsid w:val="0E8E2B66"/>
    <w:rsid w:val="0E9B298F"/>
    <w:rsid w:val="0EB93DAD"/>
    <w:rsid w:val="0EC650AE"/>
    <w:rsid w:val="0EFF124A"/>
    <w:rsid w:val="0F037D78"/>
    <w:rsid w:val="0F04330F"/>
    <w:rsid w:val="0F32099C"/>
    <w:rsid w:val="0F415BAE"/>
    <w:rsid w:val="0F66A523"/>
    <w:rsid w:val="0F7E668B"/>
    <w:rsid w:val="0FA444A8"/>
    <w:rsid w:val="0FBD6B0F"/>
    <w:rsid w:val="0FD079FE"/>
    <w:rsid w:val="0FEB20A8"/>
    <w:rsid w:val="0FF30B5F"/>
    <w:rsid w:val="0FFE2FB5"/>
    <w:rsid w:val="100E7766"/>
    <w:rsid w:val="101C7E87"/>
    <w:rsid w:val="101D0D67"/>
    <w:rsid w:val="10455701"/>
    <w:rsid w:val="105B157C"/>
    <w:rsid w:val="10620D0B"/>
    <w:rsid w:val="107713FC"/>
    <w:rsid w:val="109707D5"/>
    <w:rsid w:val="10A141F9"/>
    <w:rsid w:val="10B36832"/>
    <w:rsid w:val="10C73106"/>
    <w:rsid w:val="10CB4FE1"/>
    <w:rsid w:val="11223939"/>
    <w:rsid w:val="11354767"/>
    <w:rsid w:val="115E16D1"/>
    <w:rsid w:val="11663654"/>
    <w:rsid w:val="11704230"/>
    <w:rsid w:val="1171583C"/>
    <w:rsid w:val="11752BFC"/>
    <w:rsid w:val="11882BCD"/>
    <w:rsid w:val="11946E50"/>
    <w:rsid w:val="11E51CE1"/>
    <w:rsid w:val="11EE37C3"/>
    <w:rsid w:val="11EE4138"/>
    <w:rsid w:val="11FD2F22"/>
    <w:rsid w:val="12183975"/>
    <w:rsid w:val="12192AAB"/>
    <w:rsid w:val="122C555B"/>
    <w:rsid w:val="1263279C"/>
    <w:rsid w:val="126B731E"/>
    <w:rsid w:val="127A6490"/>
    <w:rsid w:val="12DA54B2"/>
    <w:rsid w:val="12DC55DB"/>
    <w:rsid w:val="12EA2295"/>
    <w:rsid w:val="12FC08C2"/>
    <w:rsid w:val="1302139B"/>
    <w:rsid w:val="13032EF7"/>
    <w:rsid w:val="130A7FED"/>
    <w:rsid w:val="133D7386"/>
    <w:rsid w:val="13492224"/>
    <w:rsid w:val="134A46B2"/>
    <w:rsid w:val="134C35CA"/>
    <w:rsid w:val="134E6D2B"/>
    <w:rsid w:val="13676439"/>
    <w:rsid w:val="13827458"/>
    <w:rsid w:val="138D12ED"/>
    <w:rsid w:val="13993067"/>
    <w:rsid w:val="13B704D8"/>
    <w:rsid w:val="13B950E7"/>
    <w:rsid w:val="13E82C18"/>
    <w:rsid w:val="13F50F9B"/>
    <w:rsid w:val="13FA552D"/>
    <w:rsid w:val="14077E18"/>
    <w:rsid w:val="1433536B"/>
    <w:rsid w:val="14410A4E"/>
    <w:rsid w:val="147F354C"/>
    <w:rsid w:val="148B36B0"/>
    <w:rsid w:val="148E606A"/>
    <w:rsid w:val="14934FE0"/>
    <w:rsid w:val="14A6179D"/>
    <w:rsid w:val="14AD79CE"/>
    <w:rsid w:val="14B5798A"/>
    <w:rsid w:val="14C041F5"/>
    <w:rsid w:val="14E272B3"/>
    <w:rsid w:val="14EB27F8"/>
    <w:rsid w:val="14F501F6"/>
    <w:rsid w:val="150B66E0"/>
    <w:rsid w:val="151A48A5"/>
    <w:rsid w:val="151E06D8"/>
    <w:rsid w:val="15515E77"/>
    <w:rsid w:val="156960E2"/>
    <w:rsid w:val="158063B7"/>
    <w:rsid w:val="158D26E2"/>
    <w:rsid w:val="15942427"/>
    <w:rsid w:val="15992F47"/>
    <w:rsid w:val="15CA3B51"/>
    <w:rsid w:val="15CC6733"/>
    <w:rsid w:val="15E73CAC"/>
    <w:rsid w:val="15ED5B9C"/>
    <w:rsid w:val="15F02685"/>
    <w:rsid w:val="16020748"/>
    <w:rsid w:val="1603502C"/>
    <w:rsid w:val="16077B0B"/>
    <w:rsid w:val="16490DC7"/>
    <w:rsid w:val="166B6D01"/>
    <w:rsid w:val="167339D9"/>
    <w:rsid w:val="169D02EC"/>
    <w:rsid w:val="16A348A4"/>
    <w:rsid w:val="16D0148E"/>
    <w:rsid w:val="16E07FD9"/>
    <w:rsid w:val="16E223A1"/>
    <w:rsid w:val="17172B9D"/>
    <w:rsid w:val="172B14BF"/>
    <w:rsid w:val="173676A7"/>
    <w:rsid w:val="173E09CA"/>
    <w:rsid w:val="176173F1"/>
    <w:rsid w:val="176465C4"/>
    <w:rsid w:val="17671300"/>
    <w:rsid w:val="1779516A"/>
    <w:rsid w:val="178C43C8"/>
    <w:rsid w:val="178D276D"/>
    <w:rsid w:val="178E01EB"/>
    <w:rsid w:val="17BB1528"/>
    <w:rsid w:val="17C47E5C"/>
    <w:rsid w:val="17F557FE"/>
    <w:rsid w:val="17FD3AC5"/>
    <w:rsid w:val="180F416C"/>
    <w:rsid w:val="1818581B"/>
    <w:rsid w:val="182062CE"/>
    <w:rsid w:val="18216D8D"/>
    <w:rsid w:val="18533547"/>
    <w:rsid w:val="185C2DF9"/>
    <w:rsid w:val="186D7DA0"/>
    <w:rsid w:val="18B57797"/>
    <w:rsid w:val="18D06D57"/>
    <w:rsid w:val="18DD2249"/>
    <w:rsid w:val="18DE3900"/>
    <w:rsid w:val="18E625FB"/>
    <w:rsid w:val="18F51474"/>
    <w:rsid w:val="18FC2F95"/>
    <w:rsid w:val="190E2C89"/>
    <w:rsid w:val="19123DBC"/>
    <w:rsid w:val="194120DC"/>
    <w:rsid w:val="194733D3"/>
    <w:rsid w:val="19535BEB"/>
    <w:rsid w:val="19623343"/>
    <w:rsid w:val="19A543BE"/>
    <w:rsid w:val="19BC7B7A"/>
    <w:rsid w:val="19DC0D79"/>
    <w:rsid w:val="1A1114D5"/>
    <w:rsid w:val="1A132538"/>
    <w:rsid w:val="1A407254"/>
    <w:rsid w:val="1A741AAC"/>
    <w:rsid w:val="1A7F182C"/>
    <w:rsid w:val="1AF574EB"/>
    <w:rsid w:val="1B1B4672"/>
    <w:rsid w:val="1B3B7B6E"/>
    <w:rsid w:val="1B3F76D5"/>
    <w:rsid w:val="1B576BE3"/>
    <w:rsid w:val="1B7C614A"/>
    <w:rsid w:val="1B941117"/>
    <w:rsid w:val="1B9BC965"/>
    <w:rsid w:val="1B9E1BC0"/>
    <w:rsid w:val="1BB55772"/>
    <w:rsid w:val="1BCE3566"/>
    <w:rsid w:val="1BDBD203"/>
    <w:rsid w:val="1BFA1EE9"/>
    <w:rsid w:val="1C014F3C"/>
    <w:rsid w:val="1C7D6929"/>
    <w:rsid w:val="1C956D58"/>
    <w:rsid w:val="1CBC777D"/>
    <w:rsid w:val="1CC81D6E"/>
    <w:rsid w:val="1CCA04D7"/>
    <w:rsid w:val="1CD659A0"/>
    <w:rsid w:val="1CE264F2"/>
    <w:rsid w:val="1CEC4FA4"/>
    <w:rsid w:val="1CF1F233"/>
    <w:rsid w:val="1CFA35D9"/>
    <w:rsid w:val="1D0A66E9"/>
    <w:rsid w:val="1D234FF8"/>
    <w:rsid w:val="1D2C0339"/>
    <w:rsid w:val="1D3217EE"/>
    <w:rsid w:val="1D3C2BE2"/>
    <w:rsid w:val="1D560203"/>
    <w:rsid w:val="1D6B06CF"/>
    <w:rsid w:val="1D6B6E8B"/>
    <w:rsid w:val="1D6E3E4C"/>
    <w:rsid w:val="1D7E6F6B"/>
    <w:rsid w:val="1D95455D"/>
    <w:rsid w:val="1DC37203"/>
    <w:rsid w:val="1DFDFCD2"/>
    <w:rsid w:val="1E0756E7"/>
    <w:rsid w:val="1E1C69B8"/>
    <w:rsid w:val="1E216521"/>
    <w:rsid w:val="1E567D8A"/>
    <w:rsid w:val="1E881F27"/>
    <w:rsid w:val="1ED02E18"/>
    <w:rsid w:val="1EEFAC55"/>
    <w:rsid w:val="1F1834E9"/>
    <w:rsid w:val="1F2123F4"/>
    <w:rsid w:val="1F5C703A"/>
    <w:rsid w:val="1F621AA9"/>
    <w:rsid w:val="1F695145"/>
    <w:rsid w:val="1F97123F"/>
    <w:rsid w:val="1FAE5BA4"/>
    <w:rsid w:val="1FC22001"/>
    <w:rsid w:val="1FCFCE95"/>
    <w:rsid w:val="1FD617CF"/>
    <w:rsid w:val="1FED2D61"/>
    <w:rsid w:val="1FFA2E94"/>
    <w:rsid w:val="200F592D"/>
    <w:rsid w:val="20346B35"/>
    <w:rsid w:val="204E0EF6"/>
    <w:rsid w:val="20571B9E"/>
    <w:rsid w:val="2075192A"/>
    <w:rsid w:val="207637FC"/>
    <w:rsid w:val="20B10630"/>
    <w:rsid w:val="20B44F5D"/>
    <w:rsid w:val="20E02CDA"/>
    <w:rsid w:val="20E148CB"/>
    <w:rsid w:val="20F35225"/>
    <w:rsid w:val="21042A12"/>
    <w:rsid w:val="210A31E4"/>
    <w:rsid w:val="2114395C"/>
    <w:rsid w:val="211508B6"/>
    <w:rsid w:val="21287F90"/>
    <w:rsid w:val="21AB00C3"/>
    <w:rsid w:val="21D02623"/>
    <w:rsid w:val="220D08DD"/>
    <w:rsid w:val="221F5327"/>
    <w:rsid w:val="222B0D5F"/>
    <w:rsid w:val="223F4CE3"/>
    <w:rsid w:val="22BD7948"/>
    <w:rsid w:val="22C83F4A"/>
    <w:rsid w:val="22DB4B16"/>
    <w:rsid w:val="22FE5BB6"/>
    <w:rsid w:val="232304B5"/>
    <w:rsid w:val="23432FC0"/>
    <w:rsid w:val="2351349D"/>
    <w:rsid w:val="238C71E5"/>
    <w:rsid w:val="239965AC"/>
    <w:rsid w:val="23A7529C"/>
    <w:rsid w:val="23F8048B"/>
    <w:rsid w:val="241D2D35"/>
    <w:rsid w:val="246170EB"/>
    <w:rsid w:val="24662CCE"/>
    <w:rsid w:val="247A4F3D"/>
    <w:rsid w:val="24935C04"/>
    <w:rsid w:val="24D972FE"/>
    <w:rsid w:val="25122B62"/>
    <w:rsid w:val="25166306"/>
    <w:rsid w:val="251736A7"/>
    <w:rsid w:val="25462A2B"/>
    <w:rsid w:val="255A4483"/>
    <w:rsid w:val="255A5B9D"/>
    <w:rsid w:val="255B4148"/>
    <w:rsid w:val="256E50F4"/>
    <w:rsid w:val="25812F39"/>
    <w:rsid w:val="25890D2D"/>
    <w:rsid w:val="2591649E"/>
    <w:rsid w:val="25D851CE"/>
    <w:rsid w:val="25E73E21"/>
    <w:rsid w:val="25EF7C9C"/>
    <w:rsid w:val="25F75AB9"/>
    <w:rsid w:val="26302428"/>
    <w:rsid w:val="26433FCE"/>
    <w:rsid w:val="26577BD4"/>
    <w:rsid w:val="265B7C42"/>
    <w:rsid w:val="265E2510"/>
    <w:rsid w:val="266C5AC2"/>
    <w:rsid w:val="267F7478"/>
    <w:rsid w:val="26966E5D"/>
    <w:rsid w:val="26A37D00"/>
    <w:rsid w:val="26A4429C"/>
    <w:rsid w:val="26DD0D72"/>
    <w:rsid w:val="26F22623"/>
    <w:rsid w:val="270E5162"/>
    <w:rsid w:val="272B0D95"/>
    <w:rsid w:val="273257FA"/>
    <w:rsid w:val="27355263"/>
    <w:rsid w:val="27387A85"/>
    <w:rsid w:val="27443D2F"/>
    <w:rsid w:val="275652F0"/>
    <w:rsid w:val="27663B42"/>
    <w:rsid w:val="27750464"/>
    <w:rsid w:val="279A152D"/>
    <w:rsid w:val="27A75530"/>
    <w:rsid w:val="27BF139F"/>
    <w:rsid w:val="27C25412"/>
    <w:rsid w:val="27D78396"/>
    <w:rsid w:val="27FF1124"/>
    <w:rsid w:val="27FF6B43"/>
    <w:rsid w:val="281A44F7"/>
    <w:rsid w:val="281E386E"/>
    <w:rsid w:val="282231EC"/>
    <w:rsid w:val="28416E41"/>
    <w:rsid w:val="28515336"/>
    <w:rsid w:val="285153F7"/>
    <w:rsid w:val="28681EF6"/>
    <w:rsid w:val="28D40E13"/>
    <w:rsid w:val="28DC7818"/>
    <w:rsid w:val="28E20912"/>
    <w:rsid w:val="28E64F5A"/>
    <w:rsid w:val="28E8117B"/>
    <w:rsid w:val="28FE1FE2"/>
    <w:rsid w:val="29163486"/>
    <w:rsid w:val="291B13EF"/>
    <w:rsid w:val="292659AF"/>
    <w:rsid w:val="29327C26"/>
    <w:rsid w:val="293B316E"/>
    <w:rsid w:val="29473F2B"/>
    <w:rsid w:val="295F1E89"/>
    <w:rsid w:val="296114D4"/>
    <w:rsid w:val="29A17D45"/>
    <w:rsid w:val="29B00124"/>
    <w:rsid w:val="29B002B6"/>
    <w:rsid w:val="29C86B08"/>
    <w:rsid w:val="2A4874C3"/>
    <w:rsid w:val="2A4D3096"/>
    <w:rsid w:val="2A5519D9"/>
    <w:rsid w:val="2A96364D"/>
    <w:rsid w:val="2AC360CA"/>
    <w:rsid w:val="2AC819FD"/>
    <w:rsid w:val="2ACA08DD"/>
    <w:rsid w:val="2AD32F1C"/>
    <w:rsid w:val="2AE555E5"/>
    <w:rsid w:val="2B012878"/>
    <w:rsid w:val="2B0143C9"/>
    <w:rsid w:val="2B2370F9"/>
    <w:rsid w:val="2B445BBC"/>
    <w:rsid w:val="2B667235"/>
    <w:rsid w:val="2B6B6BD2"/>
    <w:rsid w:val="2B6F6B3F"/>
    <w:rsid w:val="2B832BFF"/>
    <w:rsid w:val="2B836B2A"/>
    <w:rsid w:val="2B9B7A31"/>
    <w:rsid w:val="2BAB3B44"/>
    <w:rsid w:val="2BBB3443"/>
    <w:rsid w:val="2BBB71A1"/>
    <w:rsid w:val="2BE93BB7"/>
    <w:rsid w:val="2BED7420"/>
    <w:rsid w:val="2BF54ED0"/>
    <w:rsid w:val="2C111958"/>
    <w:rsid w:val="2C1E7C57"/>
    <w:rsid w:val="2C3E7CAF"/>
    <w:rsid w:val="2C52325F"/>
    <w:rsid w:val="2C9E6B50"/>
    <w:rsid w:val="2CAD1C54"/>
    <w:rsid w:val="2CC04BC1"/>
    <w:rsid w:val="2CCF5149"/>
    <w:rsid w:val="2CF56D30"/>
    <w:rsid w:val="2D0B01BA"/>
    <w:rsid w:val="2D0D6D71"/>
    <w:rsid w:val="2D116A34"/>
    <w:rsid w:val="2D216B1D"/>
    <w:rsid w:val="2D3B6510"/>
    <w:rsid w:val="2D3B7962"/>
    <w:rsid w:val="2D585F94"/>
    <w:rsid w:val="2D7F20D1"/>
    <w:rsid w:val="2D851CA1"/>
    <w:rsid w:val="2D8F2DE0"/>
    <w:rsid w:val="2DA0507A"/>
    <w:rsid w:val="2DA25419"/>
    <w:rsid w:val="2DB46A8B"/>
    <w:rsid w:val="2DC552B5"/>
    <w:rsid w:val="2DCF013B"/>
    <w:rsid w:val="2DD268A1"/>
    <w:rsid w:val="2DFB3C51"/>
    <w:rsid w:val="2DFFF8C3"/>
    <w:rsid w:val="2E1B408B"/>
    <w:rsid w:val="2E1D64C3"/>
    <w:rsid w:val="2E226A36"/>
    <w:rsid w:val="2E2C79CF"/>
    <w:rsid w:val="2E8D3E4E"/>
    <w:rsid w:val="2EE36BC3"/>
    <w:rsid w:val="2EE72680"/>
    <w:rsid w:val="2EF664CB"/>
    <w:rsid w:val="2F2528AF"/>
    <w:rsid w:val="2F2C29C9"/>
    <w:rsid w:val="2F937DE6"/>
    <w:rsid w:val="2F9734B1"/>
    <w:rsid w:val="2FBD85D3"/>
    <w:rsid w:val="30021585"/>
    <w:rsid w:val="300D40CD"/>
    <w:rsid w:val="301A6EB2"/>
    <w:rsid w:val="30231087"/>
    <w:rsid w:val="30291FD7"/>
    <w:rsid w:val="302A28EF"/>
    <w:rsid w:val="303B7465"/>
    <w:rsid w:val="304C7B13"/>
    <w:rsid w:val="30530D48"/>
    <w:rsid w:val="306B3129"/>
    <w:rsid w:val="30D16FAB"/>
    <w:rsid w:val="30D25BE7"/>
    <w:rsid w:val="30D51E86"/>
    <w:rsid w:val="30F2343E"/>
    <w:rsid w:val="30FE32A6"/>
    <w:rsid w:val="31373CB9"/>
    <w:rsid w:val="314A205D"/>
    <w:rsid w:val="31651512"/>
    <w:rsid w:val="316F20DB"/>
    <w:rsid w:val="318079FC"/>
    <w:rsid w:val="31B916A4"/>
    <w:rsid w:val="31BF40FB"/>
    <w:rsid w:val="31CD522E"/>
    <w:rsid w:val="31D06E18"/>
    <w:rsid w:val="31F268D0"/>
    <w:rsid w:val="31FB5105"/>
    <w:rsid w:val="32310983"/>
    <w:rsid w:val="325D750C"/>
    <w:rsid w:val="327112BF"/>
    <w:rsid w:val="32842BC5"/>
    <w:rsid w:val="32862156"/>
    <w:rsid w:val="32A67235"/>
    <w:rsid w:val="32BF4D87"/>
    <w:rsid w:val="32CD0F07"/>
    <w:rsid w:val="32D85906"/>
    <w:rsid w:val="32E77186"/>
    <w:rsid w:val="32F54A72"/>
    <w:rsid w:val="32FD1DAB"/>
    <w:rsid w:val="32FF6E7A"/>
    <w:rsid w:val="3309528F"/>
    <w:rsid w:val="330C174B"/>
    <w:rsid w:val="331423DB"/>
    <w:rsid w:val="33420ADA"/>
    <w:rsid w:val="336A245E"/>
    <w:rsid w:val="336F7CDE"/>
    <w:rsid w:val="337563D6"/>
    <w:rsid w:val="3382640F"/>
    <w:rsid w:val="33A46D89"/>
    <w:rsid w:val="33AA4C5B"/>
    <w:rsid w:val="33B056E9"/>
    <w:rsid w:val="33B25F86"/>
    <w:rsid w:val="33B80875"/>
    <w:rsid w:val="33BD092A"/>
    <w:rsid w:val="33CFA5D2"/>
    <w:rsid w:val="343A039B"/>
    <w:rsid w:val="34426D76"/>
    <w:rsid w:val="345E9490"/>
    <w:rsid w:val="34653355"/>
    <w:rsid w:val="347478B9"/>
    <w:rsid w:val="34802932"/>
    <w:rsid w:val="353B0E05"/>
    <w:rsid w:val="3558620E"/>
    <w:rsid w:val="358579ED"/>
    <w:rsid w:val="35B6712B"/>
    <w:rsid w:val="35BD507D"/>
    <w:rsid w:val="35C751D7"/>
    <w:rsid w:val="35DA10E7"/>
    <w:rsid w:val="35EA47D7"/>
    <w:rsid w:val="35FE03C9"/>
    <w:rsid w:val="3605CD16"/>
    <w:rsid w:val="3613775A"/>
    <w:rsid w:val="3633503A"/>
    <w:rsid w:val="367F7296"/>
    <w:rsid w:val="36904C3B"/>
    <w:rsid w:val="36A3289E"/>
    <w:rsid w:val="36D467AD"/>
    <w:rsid w:val="36EF0C18"/>
    <w:rsid w:val="36F63B76"/>
    <w:rsid w:val="372311F5"/>
    <w:rsid w:val="372A5BB9"/>
    <w:rsid w:val="37315EAC"/>
    <w:rsid w:val="37405423"/>
    <w:rsid w:val="37481C19"/>
    <w:rsid w:val="374A4B35"/>
    <w:rsid w:val="375869AC"/>
    <w:rsid w:val="376746A4"/>
    <w:rsid w:val="3774522F"/>
    <w:rsid w:val="37843D18"/>
    <w:rsid w:val="37956E13"/>
    <w:rsid w:val="379B61AD"/>
    <w:rsid w:val="37B6284B"/>
    <w:rsid w:val="37C672B9"/>
    <w:rsid w:val="37D55897"/>
    <w:rsid w:val="37D665A6"/>
    <w:rsid w:val="37E17729"/>
    <w:rsid w:val="383560F6"/>
    <w:rsid w:val="385731F6"/>
    <w:rsid w:val="38885163"/>
    <w:rsid w:val="389D1B4E"/>
    <w:rsid w:val="389D60BB"/>
    <w:rsid w:val="38AC66FA"/>
    <w:rsid w:val="38B12775"/>
    <w:rsid w:val="38BF6147"/>
    <w:rsid w:val="38C8758F"/>
    <w:rsid w:val="38CA7324"/>
    <w:rsid w:val="38EB9087"/>
    <w:rsid w:val="38F020F3"/>
    <w:rsid w:val="38F51B06"/>
    <w:rsid w:val="391436D6"/>
    <w:rsid w:val="39363C3D"/>
    <w:rsid w:val="3944347E"/>
    <w:rsid w:val="399F44B4"/>
    <w:rsid w:val="39B5053A"/>
    <w:rsid w:val="39BE4A47"/>
    <w:rsid w:val="39C03F22"/>
    <w:rsid w:val="39CD1E72"/>
    <w:rsid w:val="39CF35ED"/>
    <w:rsid w:val="39EA61DE"/>
    <w:rsid w:val="39F02DA4"/>
    <w:rsid w:val="3A063407"/>
    <w:rsid w:val="3A1C2B74"/>
    <w:rsid w:val="3A243F41"/>
    <w:rsid w:val="3A391A7C"/>
    <w:rsid w:val="3A43171F"/>
    <w:rsid w:val="3A4E1EB5"/>
    <w:rsid w:val="3A7B2027"/>
    <w:rsid w:val="3A8A324D"/>
    <w:rsid w:val="3AA21F62"/>
    <w:rsid w:val="3AAEAD58"/>
    <w:rsid w:val="3AC622F3"/>
    <w:rsid w:val="3AD85F3B"/>
    <w:rsid w:val="3AE6521B"/>
    <w:rsid w:val="3AFA1D22"/>
    <w:rsid w:val="3B0A5212"/>
    <w:rsid w:val="3B13318E"/>
    <w:rsid w:val="3B1A74BF"/>
    <w:rsid w:val="3B3256D0"/>
    <w:rsid w:val="3B3D2981"/>
    <w:rsid w:val="3B5F8F49"/>
    <w:rsid w:val="3B6B7163"/>
    <w:rsid w:val="3BC619D7"/>
    <w:rsid w:val="3BCC0771"/>
    <w:rsid w:val="3BD03CE7"/>
    <w:rsid w:val="3BD538D8"/>
    <w:rsid w:val="3BD7B2A9"/>
    <w:rsid w:val="3BFCE617"/>
    <w:rsid w:val="3BFEE249"/>
    <w:rsid w:val="3C092040"/>
    <w:rsid w:val="3C2D18CA"/>
    <w:rsid w:val="3C3B58CC"/>
    <w:rsid w:val="3C67015F"/>
    <w:rsid w:val="3CA53DD7"/>
    <w:rsid w:val="3CB35411"/>
    <w:rsid w:val="3CF6A876"/>
    <w:rsid w:val="3CFBD7CA"/>
    <w:rsid w:val="3CFD4118"/>
    <w:rsid w:val="3D0457EB"/>
    <w:rsid w:val="3D0D07D0"/>
    <w:rsid w:val="3D1C280B"/>
    <w:rsid w:val="3D1D134A"/>
    <w:rsid w:val="3D260006"/>
    <w:rsid w:val="3D32104F"/>
    <w:rsid w:val="3D5C79FA"/>
    <w:rsid w:val="3D7A41AA"/>
    <w:rsid w:val="3D826FD3"/>
    <w:rsid w:val="3D8D45F1"/>
    <w:rsid w:val="3DB05851"/>
    <w:rsid w:val="3DB1683A"/>
    <w:rsid w:val="3DBEEA71"/>
    <w:rsid w:val="3DCA265E"/>
    <w:rsid w:val="3DDC44A8"/>
    <w:rsid w:val="3DDD07DC"/>
    <w:rsid w:val="3DEB31AB"/>
    <w:rsid w:val="3DEE36B6"/>
    <w:rsid w:val="3DFE2DC3"/>
    <w:rsid w:val="3DFFE601"/>
    <w:rsid w:val="3E0537A9"/>
    <w:rsid w:val="3E13569C"/>
    <w:rsid w:val="3E2C657F"/>
    <w:rsid w:val="3E454B30"/>
    <w:rsid w:val="3E65E4C0"/>
    <w:rsid w:val="3E6701E7"/>
    <w:rsid w:val="3E685E45"/>
    <w:rsid w:val="3E6E3B76"/>
    <w:rsid w:val="3E6FC826"/>
    <w:rsid w:val="3E700F3C"/>
    <w:rsid w:val="3E7F6473"/>
    <w:rsid w:val="3E969B37"/>
    <w:rsid w:val="3EA72D8A"/>
    <w:rsid w:val="3EAB1036"/>
    <w:rsid w:val="3EC15CBD"/>
    <w:rsid w:val="3ECF9E83"/>
    <w:rsid w:val="3ED253EE"/>
    <w:rsid w:val="3EDF49AD"/>
    <w:rsid w:val="3EED3595"/>
    <w:rsid w:val="3EF35DE1"/>
    <w:rsid w:val="3EFB78A8"/>
    <w:rsid w:val="3EFF0B89"/>
    <w:rsid w:val="3EFF62C2"/>
    <w:rsid w:val="3F1B6E1B"/>
    <w:rsid w:val="3F2F5DA8"/>
    <w:rsid w:val="3FBB42A0"/>
    <w:rsid w:val="3FBFB584"/>
    <w:rsid w:val="3FC23BB7"/>
    <w:rsid w:val="3FD34BA7"/>
    <w:rsid w:val="3FDB25D7"/>
    <w:rsid w:val="3FEBF8AD"/>
    <w:rsid w:val="3FEF1090"/>
    <w:rsid w:val="3FEF2D48"/>
    <w:rsid w:val="3FF5F5C1"/>
    <w:rsid w:val="3FFB2D49"/>
    <w:rsid w:val="3FFB3A77"/>
    <w:rsid w:val="3FFE9066"/>
    <w:rsid w:val="3FFFECF5"/>
    <w:rsid w:val="40012B8E"/>
    <w:rsid w:val="404C2F49"/>
    <w:rsid w:val="4054680C"/>
    <w:rsid w:val="409A0D7E"/>
    <w:rsid w:val="40B45165"/>
    <w:rsid w:val="40B61D1F"/>
    <w:rsid w:val="40C64C8F"/>
    <w:rsid w:val="40D26ABE"/>
    <w:rsid w:val="410149A7"/>
    <w:rsid w:val="411349EB"/>
    <w:rsid w:val="418C4F0C"/>
    <w:rsid w:val="419B0E70"/>
    <w:rsid w:val="41A62A99"/>
    <w:rsid w:val="41BD47C6"/>
    <w:rsid w:val="41E528CA"/>
    <w:rsid w:val="41E96BA3"/>
    <w:rsid w:val="42780B92"/>
    <w:rsid w:val="42A31665"/>
    <w:rsid w:val="42A90E4B"/>
    <w:rsid w:val="42AE3BCE"/>
    <w:rsid w:val="42D71172"/>
    <w:rsid w:val="42DE2B0E"/>
    <w:rsid w:val="42E434FF"/>
    <w:rsid w:val="42EA094D"/>
    <w:rsid w:val="43075E09"/>
    <w:rsid w:val="4308231F"/>
    <w:rsid w:val="432A3DA1"/>
    <w:rsid w:val="43477617"/>
    <w:rsid w:val="434F331F"/>
    <w:rsid w:val="43515D83"/>
    <w:rsid w:val="436473F2"/>
    <w:rsid w:val="43697E2C"/>
    <w:rsid w:val="4395232B"/>
    <w:rsid w:val="43A84125"/>
    <w:rsid w:val="43AE0011"/>
    <w:rsid w:val="43B727B1"/>
    <w:rsid w:val="43D07980"/>
    <w:rsid w:val="43DA29CD"/>
    <w:rsid w:val="43FD4875"/>
    <w:rsid w:val="44072D42"/>
    <w:rsid w:val="441A0B4A"/>
    <w:rsid w:val="445E7DDA"/>
    <w:rsid w:val="448071BE"/>
    <w:rsid w:val="44822CF4"/>
    <w:rsid w:val="449611FC"/>
    <w:rsid w:val="449A39E2"/>
    <w:rsid w:val="44A06454"/>
    <w:rsid w:val="44A97E19"/>
    <w:rsid w:val="44B15861"/>
    <w:rsid w:val="44C666A0"/>
    <w:rsid w:val="44FA3D9C"/>
    <w:rsid w:val="450F54C4"/>
    <w:rsid w:val="451C3EFB"/>
    <w:rsid w:val="453B1F1C"/>
    <w:rsid w:val="45454EC1"/>
    <w:rsid w:val="45480EDA"/>
    <w:rsid w:val="455A4B2D"/>
    <w:rsid w:val="45B6184A"/>
    <w:rsid w:val="45B8134C"/>
    <w:rsid w:val="45BA68C2"/>
    <w:rsid w:val="45ED6BB0"/>
    <w:rsid w:val="46024541"/>
    <w:rsid w:val="4608760B"/>
    <w:rsid w:val="46136706"/>
    <w:rsid w:val="46136DAB"/>
    <w:rsid w:val="462F327B"/>
    <w:rsid w:val="4633054F"/>
    <w:rsid w:val="463567D9"/>
    <w:rsid w:val="464A287A"/>
    <w:rsid w:val="465119F7"/>
    <w:rsid w:val="46514B53"/>
    <w:rsid w:val="46632684"/>
    <w:rsid w:val="468329B4"/>
    <w:rsid w:val="468A283D"/>
    <w:rsid w:val="46A12ECD"/>
    <w:rsid w:val="46A81D6E"/>
    <w:rsid w:val="46AE1CB7"/>
    <w:rsid w:val="46BE11FF"/>
    <w:rsid w:val="46BFCF7A"/>
    <w:rsid w:val="46CC7C8D"/>
    <w:rsid w:val="46D149AB"/>
    <w:rsid w:val="46DFDC43"/>
    <w:rsid w:val="46E84F45"/>
    <w:rsid w:val="46EB0F15"/>
    <w:rsid w:val="46F84087"/>
    <w:rsid w:val="47091437"/>
    <w:rsid w:val="470F07DF"/>
    <w:rsid w:val="47202FFF"/>
    <w:rsid w:val="477208B0"/>
    <w:rsid w:val="47884B5E"/>
    <w:rsid w:val="47941300"/>
    <w:rsid w:val="479D0ED0"/>
    <w:rsid w:val="47A84C6F"/>
    <w:rsid w:val="47B11F26"/>
    <w:rsid w:val="47C06209"/>
    <w:rsid w:val="47D212DD"/>
    <w:rsid w:val="47DAD6EA"/>
    <w:rsid w:val="47DF5460"/>
    <w:rsid w:val="480402F3"/>
    <w:rsid w:val="48094716"/>
    <w:rsid w:val="480A5B03"/>
    <w:rsid w:val="48285C33"/>
    <w:rsid w:val="485A6D88"/>
    <w:rsid w:val="486B7495"/>
    <w:rsid w:val="48A874A0"/>
    <w:rsid w:val="48E0551C"/>
    <w:rsid w:val="48E44972"/>
    <w:rsid w:val="48F37961"/>
    <w:rsid w:val="48FB58BE"/>
    <w:rsid w:val="49082143"/>
    <w:rsid w:val="499A0B23"/>
    <w:rsid w:val="49B87F92"/>
    <w:rsid w:val="49DE6BC0"/>
    <w:rsid w:val="49EB7164"/>
    <w:rsid w:val="49ED6C4B"/>
    <w:rsid w:val="49F642F6"/>
    <w:rsid w:val="49F75357"/>
    <w:rsid w:val="49FDCB5B"/>
    <w:rsid w:val="49FF284F"/>
    <w:rsid w:val="4A017628"/>
    <w:rsid w:val="4A091369"/>
    <w:rsid w:val="4A176573"/>
    <w:rsid w:val="4A332C75"/>
    <w:rsid w:val="4A5D131D"/>
    <w:rsid w:val="4A6C4A18"/>
    <w:rsid w:val="4A9067F8"/>
    <w:rsid w:val="4AA845E3"/>
    <w:rsid w:val="4AB43257"/>
    <w:rsid w:val="4AB45844"/>
    <w:rsid w:val="4ABE1698"/>
    <w:rsid w:val="4AD73012"/>
    <w:rsid w:val="4B143CD4"/>
    <w:rsid w:val="4B780AB1"/>
    <w:rsid w:val="4B855846"/>
    <w:rsid w:val="4B911833"/>
    <w:rsid w:val="4BBD220C"/>
    <w:rsid w:val="4BBF2005"/>
    <w:rsid w:val="4BEB0D7E"/>
    <w:rsid w:val="4BF562F7"/>
    <w:rsid w:val="4C5C6857"/>
    <w:rsid w:val="4C750438"/>
    <w:rsid w:val="4C953863"/>
    <w:rsid w:val="4C9F6804"/>
    <w:rsid w:val="4CBE72E6"/>
    <w:rsid w:val="4CEB0521"/>
    <w:rsid w:val="4CF30E21"/>
    <w:rsid w:val="4CFB076C"/>
    <w:rsid w:val="4D165357"/>
    <w:rsid w:val="4D27776E"/>
    <w:rsid w:val="4D33425A"/>
    <w:rsid w:val="4D4C7531"/>
    <w:rsid w:val="4D5C7BDE"/>
    <w:rsid w:val="4D5F277B"/>
    <w:rsid w:val="4D6E73B6"/>
    <w:rsid w:val="4D825847"/>
    <w:rsid w:val="4D880A88"/>
    <w:rsid w:val="4D8F0E0E"/>
    <w:rsid w:val="4D972D63"/>
    <w:rsid w:val="4DBB06BF"/>
    <w:rsid w:val="4DBB7BAB"/>
    <w:rsid w:val="4DC2200F"/>
    <w:rsid w:val="4DCB172A"/>
    <w:rsid w:val="4DD10A31"/>
    <w:rsid w:val="4DD5707C"/>
    <w:rsid w:val="4DEF986D"/>
    <w:rsid w:val="4E171E03"/>
    <w:rsid w:val="4E263621"/>
    <w:rsid w:val="4E332C23"/>
    <w:rsid w:val="4E487348"/>
    <w:rsid w:val="4E642422"/>
    <w:rsid w:val="4E84122F"/>
    <w:rsid w:val="4ED76AAE"/>
    <w:rsid w:val="4EE0102A"/>
    <w:rsid w:val="4EE0781B"/>
    <w:rsid w:val="4EECAB26"/>
    <w:rsid w:val="4EEF12A1"/>
    <w:rsid w:val="4EF13E07"/>
    <w:rsid w:val="4EF86C24"/>
    <w:rsid w:val="4F0A00E3"/>
    <w:rsid w:val="4F141BF4"/>
    <w:rsid w:val="4FA39425"/>
    <w:rsid w:val="4FD212EB"/>
    <w:rsid w:val="4FDF2B1B"/>
    <w:rsid w:val="4FE861C5"/>
    <w:rsid w:val="4FF25350"/>
    <w:rsid w:val="4FF543DF"/>
    <w:rsid w:val="500732FC"/>
    <w:rsid w:val="50204279"/>
    <w:rsid w:val="5038156D"/>
    <w:rsid w:val="504804FE"/>
    <w:rsid w:val="505960B1"/>
    <w:rsid w:val="506272C4"/>
    <w:rsid w:val="50666D20"/>
    <w:rsid w:val="50A31EED"/>
    <w:rsid w:val="50C05E6F"/>
    <w:rsid w:val="50C411B4"/>
    <w:rsid w:val="50CB332E"/>
    <w:rsid w:val="50FC3F8E"/>
    <w:rsid w:val="50FD29BB"/>
    <w:rsid w:val="51046018"/>
    <w:rsid w:val="51352E5B"/>
    <w:rsid w:val="5151726D"/>
    <w:rsid w:val="5163270C"/>
    <w:rsid w:val="517C5ED0"/>
    <w:rsid w:val="51AE2B40"/>
    <w:rsid w:val="51C06B6F"/>
    <w:rsid w:val="51D9E415"/>
    <w:rsid w:val="51F40EC1"/>
    <w:rsid w:val="51FF4DAD"/>
    <w:rsid w:val="5205388D"/>
    <w:rsid w:val="52392C19"/>
    <w:rsid w:val="52490E18"/>
    <w:rsid w:val="524E70DF"/>
    <w:rsid w:val="52620E20"/>
    <w:rsid w:val="52650357"/>
    <w:rsid w:val="527C0522"/>
    <w:rsid w:val="528A1163"/>
    <w:rsid w:val="5297585B"/>
    <w:rsid w:val="52D9720A"/>
    <w:rsid w:val="52FF2F12"/>
    <w:rsid w:val="531E35AF"/>
    <w:rsid w:val="532661FA"/>
    <w:rsid w:val="53372BA6"/>
    <w:rsid w:val="535024D9"/>
    <w:rsid w:val="535B250D"/>
    <w:rsid w:val="535C542F"/>
    <w:rsid w:val="537A181A"/>
    <w:rsid w:val="539D289D"/>
    <w:rsid w:val="53A1799F"/>
    <w:rsid w:val="53D62BEA"/>
    <w:rsid w:val="53DC4D5F"/>
    <w:rsid w:val="53ED7AE3"/>
    <w:rsid w:val="53EF1146"/>
    <w:rsid w:val="53F5296F"/>
    <w:rsid w:val="542710D7"/>
    <w:rsid w:val="54327F88"/>
    <w:rsid w:val="54354141"/>
    <w:rsid w:val="54373BA1"/>
    <w:rsid w:val="54601169"/>
    <w:rsid w:val="54647C14"/>
    <w:rsid w:val="547A70BC"/>
    <w:rsid w:val="549C4B29"/>
    <w:rsid w:val="54AE7C55"/>
    <w:rsid w:val="54C13544"/>
    <w:rsid w:val="54DD0A62"/>
    <w:rsid w:val="54FE582C"/>
    <w:rsid w:val="55016A32"/>
    <w:rsid w:val="55134720"/>
    <w:rsid w:val="552547B8"/>
    <w:rsid w:val="5529403B"/>
    <w:rsid w:val="555508DF"/>
    <w:rsid w:val="555E7ABA"/>
    <w:rsid w:val="55786A87"/>
    <w:rsid w:val="559E6A78"/>
    <w:rsid w:val="55A2370F"/>
    <w:rsid w:val="55C07F18"/>
    <w:rsid w:val="55C870C3"/>
    <w:rsid w:val="55D9F4F6"/>
    <w:rsid w:val="55F8E36F"/>
    <w:rsid w:val="55FF61F9"/>
    <w:rsid w:val="56067F34"/>
    <w:rsid w:val="56217965"/>
    <w:rsid w:val="56236745"/>
    <w:rsid w:val="56732392"/>
    <w:rsid w:val="56790F37"/>
    <w:rsid w:val="567C6BC4"/>
    <w:rsid w:val="569953F9"/>
    <w:rsid w:val="569A43C2"/>
    <w:rsid w:val="569F9372"/>
    <w:rsid w:val="56AC36A4"/>
    <w:rsid w:val="56EE237B"/>
    <w:rsid w:val="56FE0570"/>
    <w:rsid w:val="57026F3D"/>
    <w:rsid w:val="57043BC8"/>
    <w:rsid w:val="57105459"/>
    <w:rsid w:val="57183B0E"/>
    <w:rsid w:val="57183FF4"/>
    <w:rsid w:val="573CFF32"/>
    <w:rsid w:val="574157C1"/>
    <w:rsid w:val="5742541C"/>
    <w:rsid w:val="5748198F"/>
    <w:rsid w:val="574E77F2"/>
    <w:rsid w:val="57553940"/>
    <w:rsid w:val="57561488"/>
    <w:rsid w:val="575F4677"/>
    <w:rsid w:val="57732DEE"/>
    <w:rsid w:val="57843B16"/>
    <w:rsid w:val="5786586B"/>
    <w:rsid w:val="579570C7"/>
    <w:rsid w:val="57B36C37"/>
    <w:rsid w:val="57BD2A60"/>
    <w:rsid w:val="57DA6156"/>
    <w:rsid w:val="57E15D19"/>
    <w:rsid w:val="57E719BD"/>
    <w:rsid w:val="57ED6F19"/>
    <w:rsid w:val="57F53C4F"/>
    <w:rsid w:val="58182B8D"/>
    <w:rsid w:val="583C1F4C"/>
    <w:rsid w:val="584026AF"/>
    <w:rsid w:val="584D5EC4"/>
    <w:rsid w:val="585232C7"/>
    <w:rsid w:val="5857266F"/>
    <w:rsid w:val="586C20E1"/>
    <w:rsid w:val="589B1EAC"/>
    <w:rsid w:val="58A77521"/>
    <w:rsid w:val="58A85DC8"/>
    <w:rsid w:val="58AF22B1"/>
    <w:rsid w:val="58D10943"/>
    <w:rsid w:val="58DC2B95"/>
    <w:rsid w:val="58EE3166"/>
    <w:rsid w:val="590C0E47"/>
    <w:rsid w:val="591309AF"/>
    <w:rsid w:val="591938DD"/>
    <w:rsid w:val="59333269"/>
    <w:rsid w:val="59433600"/>
    <w:rsid w:val="59487F88"/>
    <w:rsid w:val="59503E98"/>
    <w:rsid w:val="595C57BC"/>
    <w:rsid w:val="595F09F7"/>
    <w:rsid w:val="5965044A"/>
    <w:rsid w:val="5971581A"/>
    <w:rsid w:val="59845318"/>
    <w:rsid w:val="59B86E9C"/>
    <w:rsid w:val="59BD7385"/>
    <w:rsid w:val="59CB454D"/>
    <w:rsid w:val="59D214C2"/>
    <w:rsid w:val="59D9F137"/>
    <w:rsid w:val="59DA2DBD"/>
    <w:rsid w:val="59E36194"/>
    <w:rsid w:val="59EA6D24"/>
    <w:rsid w:val="59F93A7D"/>
    <w:rsid w:val="5A004491"/>
    <w:rsid w:val="5A056ECE"/>
    <w:rsid w:val="5A39626E"/>
    <w:rsid w:val="5A46505F"/>
    <w:rsid w:val="5A5C7456"/>
    <w:rsid w:val="5A636DE0"/>
    <w:rsid w:val="5A6B3BC8"/>
    <w:rsid w:val="5A981A8C"/>
    <w:rsid w:val="5ABD7B2D"/>
    <w:rsid w:val="5ACB650B"/>
    <w:rsid w:val="5ACC35CE"/>
    <w:rsid w:val="5B0A4F98"/>
    <w:rsid w:val="5B236013"/>
    <w:rsid w:val="5B456209"/>
    <w:rsid w:val="5B8E7B21"/>
    <w:rsid w:val="5B93B6AD"/>
    <w:rsid w:val="5B9C5F40"/>
    <w:rsid w:val="5B9E55DE"/>
    <w:rsid w:val="5BA05B8D"/>
    <w:rsid w:val="5BA47F7C"/>
    <w:rsid w:val="5BB60510"/>
    <w:rsid w:val="5BBB58EE"/>
    <w:rsid w:val="5BBFDF2C"/>
    <w:rsid w:val="5BCC3D65"/>
    <w:rsid w:val="5BEFDFA7"/>
    <w:rsid w:val="5BFB720C"/>
    <w:rsid w:val="5BFDE3D2"/>
    <w:rsid w:val="5C20687D"/>
    <w:rsid w:val="5C7DFA45"/>
    <w:rsid w:val="5C9564B9"/>
    <w:rsid w:val="5CB97D39"/>
    <w:rsid w:val="5CBF4B18"/>
    <w:rsid w:val="5CE10301"/>
    <w:rsid w:val="5CF74C95"/>
    <w:rsid w:val="5D0A4266"/>
    <w:rsid w:val="5D1A53A8"/>
    <w:rsid w:val="5D1D7220"/>
    <w:rsid w:val="5D2A05E8"/>
    <w:rsid w:val="5D2E26E6"/>
    <w:rsid w:val="5D594A5B"/>
    <w:rsid w:val="5D64747A"/>
    <w:rsid w:val="5D7D0D05"/>
    <w:rsid w:val="5D96063C"/>
    <w:rsid w:val="5DA563B2"/>
    <w:rsid w:val="5DB1AC82"/>
    <w:rsid w:val="5DBB343D"/>
    <w:rsid w:val="5DBF10C5"/>
    <w:rsid w:val="5DCF37A4"/>
    <w:rsid w:val="5DD03D3B"/>
    <w:rsid w:val="5DDC4934"/>
    <w:rsid w:val="5DDE2079"/>
    <w:rsid w:val="5DE97D67"/>
    <w:rsid w:val="5E003DB3"/>
    <w:rsid w:val="5E087CF2"/>
    <w:rsid w:val="5E1D3C38"/>
    <w:rsid w:val="5E1D6BF6"/>
    <w:rsid w:val="5E3A175D"/>
    <w:rsid w:val="5E466934"/>
    <w:rsid w:val="5E5F63BB"/>
    <w:rsid w:val="5E693247"/>
    <w:rsid w:val="5E7F4C52"/>
    <w:rsid w:val="5EA45FFF"/>
    <w:rsid w:val="5EA937F6"/>
    <w:rsid w:val="5EAFA3AF"/>
    <w:rsid w:val="5EAFAA66"/>
    <w:rsid w:val="5ED10D34"/>
    <w:rsid w:val="5EE7B768"/>
    <w:rsid w:val="5EF4DC24"/>
    <w:rsid w:val="5F105E43"/>
    <w:rsid w:val="5F467FCB"/>
    <w:rsid w:val="5F5B09C5"/>
    <w:rsid w:val="5F5FB13D"/>
    <w:rsid w:val="5F7751C9"/>
    <w:rsid w:val="5F7846DD"/>
    <w:rsid w:val="5F895FAB"/>
    <w:rsid w:val="5FA353CB"/>
    <w:rsid w:val="5FACD0F3"/>
    <w:rsid w:val="5FDBE42F"/>
    <w:rsid w:val="5FF172F9"/>
    <w:rsid w:val="5FF33390"/>
    <w:rsid w:val="5FF3CFD9"/>
    <w:rsid w:val="5FF3FBE7"/>
    <w:rsid w:val="5FF98EA9"/>
    <w:rsid w:val="5FFA67A0"/>
    <w:rsid w:val="5FFC553D"/>
    <w:rsid w:val="5FFC646A"/>
    <w:rsid w:val="5FFF5315"/>
    <w:rsid w:val="5FFF64ED"/>
    <w:rsid w:val="5FFF7B37"/>
    <w:rsid w:val="600748B2"/>
    <w:rsid w:val="601E7FBB"/>
    <w:rsid w:val="60480B2C"/>
    <w:rsid w:val="6069753A"/>
    <w:rsid w:val="60B8356A"/>
    <w:rsid w:val="60BC030F"/>
    <w:rsid w:val="60BF06CC"/>
    <w:rsid w:val="60D8616F"/>
    <w:rsid w:val="613176E1"/>
    <w:rsid w:val="617577AD"/>
    <w:rsid w:val="617E4C26"/>
    <w:rsid w:val="618D0043"/>
    <w:rsid w:val="6194318C"/>
    <w:rsid w:val="61A031D3"/>
    <w:rsid w:val="61D12A3D"/>
    <w:rsid w:val="61F41108"/>
    <w:rsid w:val="61FE7416"/>
    <w:rsid w:val="621F4E23"/>
    <w:rsid w:val="623304B8"/>
    <w:rsid w:val="623B67F0"/>
    <w:rsid w:val="62595944"/>
    <w:rsid w:val="62774E20"/>
    <w:rsid w:val="627D2DAB"/>
    <w:rsid w:val="628F5777"/>
    <w:rsid w:val="62B51706"/>
    <w:rsid w:val="62BE61D5"/>
    <w:rsid w:val="62BFC984"/>
    <w:rsid w:val="62C1726F"/>
    <w:rsid w:val="62C83A1C"/>
    <w:rsid w:val="62D90802"/>
    <w:rsid w:val="62D92D08"/>
    <w:rsid w:val="62F62029"/>
    <w:rsid w:val="630343DD"/>
    <w:rsid w:val="630E7B4A"/>
    <w:rsid w:val="630F5E39"/>
    <w:rsid w:val="632209D0"/>
    <w:rsid w:val="632D2D93"/>
    <w:rsid w:val="63485548"/>
    <w:rsid w:val="636234A5"/>
    <w:rsid w:val="6363545B"/>
    <w:rsid w:val="63781E8D"/>
    <w:rsid w:val="637C3EF4"/>
    <w:rsid w:val="63952AC1"/>
    <w:rsid w:val="63D618B9"/>
    <w:rsid w:val="63D76B67"/>
    <w:rsid w:val="63D87854"/>
    <w:rsid w:val="63DF6C16"/>
    <w:rsid w:val="63E182AC"/>
    <w:rsid w:val="63E878F3"/>
    <w:rsid w:val="63E92D9D"/>
    <w:rsid w:val="640517CF"/>
    <w:rsid w:val="64170635"/>
    <w:rsid w:val="641E5E60"/>
    <w:rsid w:val="642F3F73"/>
    <w:rsid w:val="64693D03"/>
    <w:rsid w:val="64703F2C"/>
    <w:rsid w:val="647A7DED"/>
    <w:rsid w:val="647B7F61"/>
    <w:rsid w:val="6493610B"/>
    <w:rsid w:val="64991102"/>
    <w:rsid w:val="649F79E1"/>
    <w:rsid w:val="64D9392F"/>
    <w:rsid w:val="64EC3B08"/>
    <w:rsid w:val="64F55D20"/>
    <w:rsid w:val="64FE4E85"/>
    <w:rsid w:val="65056EE8"/>
    <w:rsid w:val="65073A3A"/>
    <w:rsid w:val="65120E20"/>
    <w:rsid w:val="65170C93"/>
    <w:rsid w:val="6526168E"/>
    <w:rsid w:val="656515F0"/>
    <w:rsid w:val="65703B9A"/>
    <w:rsid w:val="65707577"/>
    <w:rsid w:val="658563BD"/>
    <w:rsid w:val="658D274B"/>
    <w:rsid w:val="6597568B"/>
    <w:rsid w:val="65AD7C52"/>
    <w:rsid w:val="65CF5C5E"/>
    <w:rsid w:val="65E42293"/>
    <w:rsid w:val="65E96A42"/>
    <w:rsid w:val="66053E77"/>
    <w:rsid w:val="662435DB"/>
    <w:rsid w:val="662E6EED"/>
    <w:rsid w:val="66696FDD"/>
    <w:rsid w:val="666A41D6"/>
    <w:rsid w:val="66724AE4"/>
    <w:rsid w:val="66801404"/>
    <w:rsid w:val="668752EF"/>
    <w:rsid w:val="669550E2"/>
    <w:rsid w:val="669E0661"/>
    <w:rsid w:val="66AE43DE"/>
    <w:rsid w:val="66B70D90"/>
    <w:rsid w:val="66B747F0"/>
    <w:rsid w:val="66BD506B"/>
    <w:rsid w:val="66DA7B30"/>
    <w:rsid w:val="66DB5BD3"/>
    <w:rsid w:val="66DBC66E"/>
    <w:rsid w:val="66FC3533"/>
    <w:rsid w:val="66FFA969"/>
    <w:rsid w:val="671B2750"/>
    <w:rsid w:val="67235CBC"/>
    <w:rsid w:val="673027E3"/>
    <w:rsid w:val="676238DC"/>
    <w:rsid w:val="676F1C88"/>
    <w:rsid w:val="676F9BAF"/>
    <w:rsid w:val="67877F00"/>
    <w:rsid w:val="67A51C67"/>
    <w:rsid w:val="67B85261"/>
    <w:rsid w:val="67B9103A"/>
    <w:rsid w:val="67BBBF5F"/>
    <w:rsid w:val="67E1013A"/>
    <w:rsid w:val="67ED0676"/>
    <w:rsid w:val="67EF5173"/>
    <w:rsid w:val="67FF6BBF"/>
    <w:rsid w:val="68011F56"/>
    <w:rsid w:val="680B150E"/>
    <w:rsid w:val="680C4DDE"/>
    <w:rsid w:val="680D14E7"/>
    <w:rsid w:val="681A52C3"/>
    <w:rsid w:val="682D12D3"/>
    <w:rsid w:val="684A796D"/>
    <w:rsid w:val="686A0BB5"/>
    <w:rsid w:val="68FE075A"/>
    <w:rsid w:val="691B64D7"/>
    <w:rsid w:val="691C2FC5"/>
    <w:rsid w:val="692A3F01"/>
    <w:rsid w:val="69343FF9"/>
    <w:rsid w:val="69435A8E"/>
    <w:rsid w:val="69627268"/>
    <w:rsid w:val="6989189B"/>
    <w:rsid w:val="699B70C6"/>
    <w:rsid w:val="69AA0C8D"/>
    <w:rsid w:val="69B72E78"/>
    <w:rsid w:val="69BC7D18"/>
    <w:rsid w:val="69C0708A"/>
    <w:rsid w:val="69DE575B"/>
    <w:rsid w:val="69F74810"/>
    <w:rsid w:val="69F84CCC"/>
    <w:rsid w:val="69F9906D"/>
    <w:rsid w:val="69FB4982"/>
    <w:rsid w:val="69FF9103"/>
    <w:rsid w:val="69FFB21F"/>
    <w:rsid w:val="6A0B1C4C"/>
    <w:rsid w:val="6A165092"/>
    <w:rsid w:val="6A237333"/>
    <w:rsid w:val="6A263E70"/>
    <w:rsid w:val="6A337C14"/>
    <w:rsid w:val="6A480A6E"/>
    <w:rsid w:val="6A4C5D2E"/>
    <w:rsid w:val="6A4F0E07"/>
    <w:rsid w:val="6A540F90"/>
    <w:rsid w:val="6A600458"/>
    <w:rsid w:val="6AD20CE5"/>
    <w:rsid w:val="6AD2141D"/>
    <w:rsid w:val="6AD51554"/>
    <w:rsid w:val="6AE6196A"/>
    <w:rsid w:val="6AF82AF1"/>
    <w:rsid w:val="6AFCE57B"/>
    <w:rsid w:val="6B0B7720"/>
    <w:rsid w:val="6B3D1E7D"/>
    <w:rsid w:val="6B7B03F8"/>
    <w:rsid w:val="6B7F3E2D"/>
    <w:rsid w:val="6B8A6ABA"/>
    <w:rsid w:val="6B956E52"/>
    <w:rsid w:val="6BA546F7"/>
    <w:rsid w:val="6BB16E8C"/>
    <w:rsid w:val="6BF35AA9"/>
    <w:rsid w:val="6BF7DCB0"/>
    <w:rsid w:val="6BFA3428"/>
    <w:rsid w:val="6BFFAFA6"/>
    <w:rsid w:val="6C0F6310"/>
    <w:rsid w:val="6C201285"/>
    <w:rsid w:val="6C286D91"/>
    <w:rsid w:val="6C4A36AF"/>
    <w:rsid w:val="6C4E33AD"/>
    <w:rsid w:val="6C681799"/>
    <w:rsid w:val="6C6FA642"/>
    <w:rsid w:val="6C843DDF"/>
    <w:rsid w:val="6C8760B3"/>
    <w:rsid w:val="6C8E310C"/>
    <w:rsid w:val="6C951B6F"/>
    <w:rsid w:val="6CB124DA"/>
    <w:rsid w:val="6CB75026"/>
    <w:rsid w:val="6CD52FF7"/>
    <w:rsid w:val="6CE134E4"/>
    <w:rsid w:val="6CE755CF"/>
    <w:rsid w:val="6CEB339B"/>
    <w:rsid w:val="6CEF8687"/>
    <w:rsid w:val="6D1C1FA9"/>
    <w:rsid w:val="6D4C4E05"/>
    <w:rsid w:val="6D543E8F"/>
    <w:rsid w:val="6D627290"/>
    <w:rsid w:val="6D6A0EF6"/>
    <w:rsid w:val="6D6B37CA"/>
    <w:rsid w:val="6D750B92"/>
    <w:rsid w:val="6D9503B8"/>
    <w:rsid w:val="6DA7851C"/>
    <w:rsid w:val="6DBFC9EF"/>
    <w:rsid w:val="6DDFD105"/>
    <w:rsid w:val="6DEF0C4D"/>
    <w:rsid w:val="6DEF3E63"/>
    <w:rsid w:val="6DF21E75"/>
    <w:rsid w:val="6DF9748C"/>
    <w:rsid w:val="6DFD960F"/>
    <w:rsid w:val="6E07475C"/>
    <w:rsid w:val="6E290217"/>
    <w:rsid w:val="6E4757F1"/>
    <w:rsid w:val="6E937B92"/>
    <w:rsid w:val="6E991EAB"/>
    <w:rsid w:val="6EBF5271"/>
    <w:rsid w:val="6ED20186"/>
    <w:rsid w:val="6ED3D24D"/>
    <w:rsid w:val="6EDD56E6"/>
    <w:rsid w:val="6EDE1487"/>
    <w:rsid w:val="6EEA039A"/>
    <w:rsid w:val="6EF78A2A"/>
    <w:rsid w:val="6EFE3E8D"/>
    <w:rsid w:val="6F0D190E"/>
    <w:rsid w:val="6F1205F2"/>
    <w:rsid w:val="6F1C74BB"/>
    <w:rsid w:val="6F5E59D1"/>
    <w:rsid w:val="6F6828A4"/>
    <w:rsid w:val="6F7B1875"/>
    <w:rsid w:val="6F7BFF29"/>
    <w:rsid w:val="6F7F12EC"/>
    <w:rsid w:val="6F87741A"/>
    <w:rsid w:val="6F8C05BD"/>
    <w:rsid w:val="6F9A7225"/>
    <w:rsid w:val="6FB5641D"/>
    <w:rsid w:val="6FBCE100"/>
    <w:rsid w:val="6FBF6E68"/>
    <w:rsid w:val="6FBF7580"/>
    <w:rsid w:val="6FDB80A4"/>
    <w:rsid w:val="6FDF7A85"/>
    <w:rsid w:val="6FDF874E"/>
    <w:rsid w:val="6FEB7EED"/>
    <w:rsid w:val="6FED41B2"/>
    <w:rsid w:val="6FF58F6F"/>
    <w:rsid w:val="6FF99EDC"/>
    <w:rsid w:val="6FFC48E0"/>
    <w:rsid w:val="6FFD115C"/>
    <w:rsid w:val="6FFE0B0D"/>
    <w:rsid w:val="6FFE9B97"/>
    <w:rsid w:val="6FFEA255"/>
    <w:rsid w:val="6FFF086F"/>
    <w:rsid w:val="6FFF4165"/>
    <w:rsid w:val="703734E4"/>
    <w:rsid w:val="70413690"/>
    <w:rsid w:val="705017C2"/>
    <w:rsid w:val="705A5AFB"/>
    <w:rsid w:val="70696621"/>
    <w:rsid w:val="706B4AEC"/>
    <w:rsid w:val="70724676"/>
    <w:rsid w:val="707303B8"/>
    <w:rsid w:val="70766CCE"/>
    <w:rsid w:val="70A14FFF"/>
    <w:rsid w:val="70BD619A"/>
    <w:rsid w:val="70C26128"/>
    <w:rsid w:val="70D0414B"/>
    <w:rsid w:val="70D17D60"/>
    <w:rsid w:val="70EA7F75"/>
    <w:rsid w:val="70F73770"/>
    <w:rsid w:val="71085C77"/>
    <w:rsid w:val="710A3D54"/>
    <w:rsid w:val="712C21C2"/>
    <w:rsid w:val="713D1F3F"/>
    <w:rsid w:val="71450A8D"/>
    <w:rsid w:val="719F2443"/>
    <w:rsid w:val="71A33C44"/>
    <w:rsid w:val="71B154BC"/>
    <w:rsid w:val="71BC6B01"/>
    <w:rsid w:val="71BF4377"/>
    <w:rsid w:val="71C9074C"/>
    <w:rsid w:val="71CB1930"/>
    <w:rsid w:val="71DC1B1F"/>
    <w:rsid w:val="71E33CCF"/>
    <w:rsid w:val="720C7352"/>
    <w:rsid w:val="72136AB9"/>
    <w:rsid w:val="72164741"/>
    <w:rsid w:val="72266FA9"/>
    <w:rsid w:val="723665A2"/>
    <w:rsid w:val="723E040B"/>
    <w:rsid w:val="724C71F5"/>
    <w:rsid w:val="726277FD"/>
    <w:rsid w:val="72671940"/>
    <w:rsid w:val="727BC690"/>
    <w:rsid w:val="72A46DDE"/>
    <w:rsid w:val="72AA4D0E"/>
    <w:rsid w:val="72CE03FB"/>
    <w:rsid w:val="72D018EC"/>
    <w:rsid w:val="72D61BF3"/>
    <w:rsid w:val="72DA18A8"/>
    <w:rsid w:val="72DF5D5B"/>
    <w:rsid w:val="72E853F4"/>
    <w:rsid w:val="72F949D2"/>
    <w:rsid w:val="730FE502"/>
    <w:rsid w:val="731A1D04"/>
    <w:rsid w:val="733F4365"/>
    <w:rsid w:val="73450D46"/>
    <w:rsid w:val="7349269A"/>
    <w:rsid w:val="735B1619"/>
    <w:rsid w:val="736E436D"/>
    <w:rsid w:val="737383AF"/>
    <w:rsid w:val="73943771"/>
    <w:rsid w:val="739B54A6"/>
    <w:rsid w:val="73B129C7"/>
    <w:rsid w:val="73B90EC3"/>
    <w:rsid w:val="73D208A1"/>
    <w:rsid w:val="73DFB235"/>
    <w:rsid w:val="73FF3F3B"/>
    <w:rsid w:val="73FF4939"/>
    <w:rsid w:val="74525377"/>
    <w:rsid w:val="747B9656"/>
    <w:rsid w:val="748374B5"/>
    <w:rsid w:val="748840ED"/>
    <w:rsid w:val="749A079F"/>
    <w:rsid w:val="749F9CDC"/>
    <w:rsid w:val="74B64063"/>
    <w:rsid w:val="74C96574"/>
    <w:rsid w:val="74CC33FC"/>
    <w:rsid w:val="74CE5D1B"/>
    <w:rsid w:val="74D56C5A"/>
    <w:rsid w:val="74E0738E"/>
    <w:rsid w:val="74FF5D0D"/>
    <w:rsid w:val="74FFA379"/>
    <w:rsid w:val="758F43AF"/>
    <w:rsid w:val="7591797D"/>
    <w:rsid w:val="75984B22"/>
    <w:rsid w:val="75CD6E6D"/>
    <w:rsid w:val="75DF0559"/>
    <w:rsid w:val="75DF4CEC"/>
    <w:rsid w:val="75DF6427"/>
    <w:rsid w:val="75E7503A"/>
    <w:rsid w:val="75F43426"/>
    <w:rsid w:val="75FB14AE"/>
    <w:rsid w:val="75FCA634"/>
    <w:rsid w:val="75FF6350"/>
    <w:rsid w:val="76097391"/>
    <w:rsid w:val="76501421"/>
    <w:rsid w:val="765B1DF4"/>
    <w:rsid w:val="766072D4"/>
    <w:rsid w:val="7661742C"/>
    <w:rsid w:val="766B0605"/>
    <w:rsid w:val="76C91F69"/>
    <w:rsid w:val="76CF0A03"/>
    <w:rsid w:val="76E458A2"/>
    <w:rsid w:val="76FC3BE2"/>
    <w:rsid w:val="76FF1178"/>
    <w:rsid w:val="76FF424A"/>
    <w:rsid w:val="77094BC2"/>
    <w:rsid w:val="770A72C6"/>
    <w:rsid w:val="772A0E5F"/>
    <w:rsid w:val="773E4536"/>
    <w:rsid w:val="773FB3CF"/>
    <w:rsid w:val="7741730A"/>
    <w:rsid w:val="776030C0"/>
    <w:rsid w:val="7766F255"/>
    <w:rsid w:val="778D6B99"/>
    <w:rsid w:val="77963F2D"/>
    <w:rsid w:val="77AFD02D"/>
    <w:rsid w:val="77BCED20"/>
    <w:rsid w:val="77C127DD"/>
    <w:rsid w:val="77D35291"/>
    <w:rsid w:val="77DB0494"/>
    <w:rsid w:val="77DD698D"/>
    <w:rsid w:val="77F5204F"/>
    <w:rsid w:val="77F768AA"/>
    <w:rsid w:val="77F9139E"/>
    <w:rsid w:val="77F94948"/>
    <w:rsid w:val="77FF4ADA"/>
    <w:rsid w:val="77FFB579"/>
    <w:rsid w:val="782653D3"/>
    <w:rsid w:val="78530E20"/>
    <w:rsid w:val="786AD49F"/>
    <w:rsid w:val="78938AF9"/>
    <w:rsid w:val="789B3ED5"/>
    <w:rsid w:val="789E15EE"/>
    <w:rsid w:val="78A74F64"/>
    <w:rsid w:val="78AA26FA"/>
    <w:rsid w:val="78B67E42"/>
    <w:rsid w:val="78BA188C"/>
    <w:rsid w:val="78C03730"/>
    <w:rsid w:val="78C07A2B"/>
    <w:rsid w:val="78C93B9A"/>
    <w:rsid w:val="78CB4F54"/>
    <w:rsid w:val="78CD220C"/>
    <w:rsid w:val="78D81187"/>
    <w:rsid w:val="78DB569D"/>
    <w:rsid w:val="78FF8683"/>
    <w:rsid w:val="792BD957"/>
    <w:rsid w:val="794E017F"/>
    <w:rsid w:val="79664D86"/>
    <w:rsid w:val="798B37A4"/>
    <w:rsid w:val="79D7C785"/>
    <w:rsid w:val="79DB2FD3"/>
    <w:rsid w:val="79E56AA0"/>
    <w:rsid w:val="79F7AC0C"/>
    <w:rsid w:val="7A2E33CD"/>
    <w:rsid w:val="7A316532"/>
    <w:rsid w:val="7A720C3E"/>
    <w:rsid w:val="7A8C51FA"/>
    <w:rsid w:val="7A91333A"/>
    <w:rsid w:val="7A9D4E0B"/>
    <w:rsid w:val="7AC12F12"/>
    <w:rsid w:val="7ADBCE14"/>
    <w:rsid w:val="7ADEBBF2"/>
    <w:rsid w:val="7ADFED0C"/>
    <w:rsid w:val="7AEB01BB"/>
    <w:rsid w:val="7AF301AE"/>
    <w:rsid w:val="7AFAD2FD"/>
    <w:rsid w:val="7AFF01E5"/>
    <w:rsid w:val="7B115BEE"/>
    <w:rsid w:val="7B126BAF"/>
    <w:rsid w:val="7B265A36"/>
    <w:rsid w:val="7B35CF43"/>
    <w:rsid w:val="7B3C4684"/>
    <w:rsid w:val="7B5F0509"/>
    <w:rsid w:val="7B5F0C15"/>
    <w:rsid w:val="7B762E24"/>
    <w:rsid w:val="7B835389"/>
    <w:rsid w:val="7B8C0E3D"/>
    <w:rsid w:val="7BBD7A9F"/>
    <w:rsid w:val="7BDF437A"/>
    <w:rsid w:val="7BE92617"/>
    <w:rsid w:val="7BED2F3B"/>
    <w:rsid w:val="7BED95E5"/>
    <w:rsid w:val="7BF7D06E"/>
    <w:rsid w:val="7BFF61BA"/>
    <w:rsid w:val="7BFFF966"/>
    <w:rsid w:val="7C1278EB"/>
    <w:rsid w:val="7C2A3B92"/>
    <w:rsid w:val="7C3B1FCE"/>
    <w:rsid w:val="7C4F0314"/>
    <w:rsid w:val="7C555AF0"/>
    <w:rsid w:val="7C764A16"/>
    <w:rsid w:val="7C774E0F"/>
    <w:rsid w:val="7C7B0C04"/>
    <w:rsid w:val="7CA76744"/>
    <w:rsid w:val="7CB79AFE"/>
    <w:rsid w:val="7CE80A3D"/>
    <w:rsid w:val="7CEE1FD0"/>
    <w:rsid w:val="7CFA6EE9"/>
    <w:rsid w:val="7CFDAFCA"/>
    <w:rsid w:val="7D0A2EE0"/>
    <w:rsid w:val="7D176FA8"/>
    <w:rsid w:val="7D1F97C2"/>
    <w:rsid w:val="7D255E0E"/>
    <w:rsid w:val="7D375C02"/>
    <w:rsid w:val="7D466FFD"/>
    <w:rsid w:val="7D55752F"/>
    <w:rsid w:val="7D5612E5"/>
    <w:rsid w:val="7D644F00"/>
    <w:rsid w:val="7D7FEF46"/>
    <w:rsid w:val="7D89669C"/>
    <w:rsid w:val="7D917476"/>
    <w:rsid w:val="7D9224A4"/>
    <w:rsid w:val="7D946EFB"/>
    <w:rsid w:val="7DB77106"/>
    <w:rsid w:val="7DBD4301"/>
    <w:rsid w:val="7DD783FD"/>
    <w:rsid w:val="7DD7D9C6"/>
    <w:rsid w:val="7DEFC259"/>
    <w:rsid w:val="7DF72212"/>
    <w:rsid w:val="7DF767C0"/>
    <w:rsid w:val="7DF7AEA8"/>
    <w:rsid w:val="7DFBB91C"/>
    <w:rsid w:val="7DFF318D"/>
    <w:rsid w:val="7DFF98E2"/>
    <w:rsid w:val="7E027E4D"/>
    <w:rsid w:val="7E142850"/>
    <w:rsid w:val="7E202DCC"/>
    <w:rsid w:val="7E3714A0"/>
    <w:rsid w:val="7E3A7082"/>
    <w:rsid w:val="7E473042"/>
    <w:rsid w:val="7E52A706"/>
    <w:rsid w:val="7E6919A3"/>
    <w:rsid w:val="7E6D16E3"/>
    <w:rsid w:val="7E736C1A"/>
    <w:rsid w:val="7E738C81"/>
    <w:rsid w:val="7E92363D"/>
    <w:rsid w:val="7EB238F9"/>
    <w:rsid w:val="7EBC0F06"/>
    <w:rsid w:val="7EC56CBD"/>
    <w:rsid w:val="7ED1059E"/>
    <w:rsid w:val="7ED71554"/>
    <w:rsid w:val="7EDF9263"/>
    <w:rsid w:val="7EDFD4E9"/>
    <w:rsid w:val="7EE60EED"/>
    <w:rsid w:val="7EE9451D"/>
    <w:rsid w:val="7EEB4AFF"/>
    <w:rsid w:val="7EEF72D1"/>
    <w:rsid w:val="7EF6B1F5"/>
    <w:rsid w:val="7EFE2F1A"/>
    <w:rsid w:val="7EFEE02D"/>
    <w:rsid w:val="7EFFE844"/>
    <w:rsid w:val="7F011BA7"/>
    <w:rsid w:val="7F0F8764"/>
    <w:rsid w:val="7F142668"/>
    <w:rsid w:val="7F1BAC92"/>
    <w:rsid w:val="7F2A1F29"/>
    <w:rsid w:val="7F2D01DE"/>
    <w:rsid w:val="7F491A2B"/>
    <w:rsid w:val="7F4D9EAD"/>
    <w:rsid w:val="7F5A2C22"/>
    <w:rsid w:val="7F5B9CE2"/>
    <w:rsid w:val="7F6F43B3"/>
    <w:rsid w:val="7F702BE2"/>
    <w:rsid w:val="7F73441D"/>
    <w:rsid w:val="7F738606"/>
    <w:rsid w:val="7F770ADD"/>
    <w:rsid w:val="7F7B2E26"/>
    <w:rsid w:val="7F7F20C3"/>
    <w:rsid w:val="7F7F920F"/>
    <w:rsid w:val="7F7FD9A0"/>
    <w:rsid w:val="7F89346C"/>
    <w:rsid w:val="7F8B8B76"/>
    <w:rsid w:val="7F8FF57A"/>
    <w:rsid w:val="7FB95D66"/>
    <w:rsid w:val="7FBA3F06"/>
    <w:rsid w:val="7FBB2A8F"/>
    <w:rsid w:val="7FBB81C0"/>
    <w:rsid w:val="7FBDEF0E"/>
    <w:rsid w:val="7FBE291F"/>
    <w:rsid w:val="7FBF787A"/>
    <w:rsid w:val="7FBFE86B"/>
    <w:rsid w:val="7FCFB694"/>
    <w:rsid w:val="7FD71879"/>
    <w:rsid w:val="7FDD7AE7"/>
    <w:rsid w:val="7FDDC5DF"/>
    <w:rsid w:val="7FE6E00E"/>
    <w:rsid w:val="7FEA54EB"/>
    <w:rsid w:val="7FEC5D5F"/>
    <w:rsid w:val="7FEDE95B"/>
    <w:rsid w:val="7FEED0D0"/>
    <w:rsid w:val="7FEF7504"/>
    <w:rsid w:val="7FEFEDD1"/>
    <w:rsid w:val="7FF16C8E"/>
    <w:rsid w:val="7FF6A483"/>
    <w:rsid w:val="7FF76E7F"/>
    <w:rsid w:val="7FFAD918"/>
    <w:rsid w:val="7FFB8BA9"/>
    <w:rsid w:val="7FFB9DBF"/>
    <w:rsid w:val="7FFC0114"/>
    <w:rsid w:val="7FFC528E"/>
    <w:rsid w:val="7FFE2A38"/>
    <w:rsid w:val="7FFF4F6B"/>
    <w:rsid w:val="7FFF523A"/>
    <w:rsid w:val="7FFF7E47"/>
    <w:rsid w:val="7FFFF70F"/>
    <w:rsid w:val="81FF59E4"/>
    <w:rsid w:val="87FD99BD"/>
    <w:rsid w:val="8FFB0095"/>
    <w:rsid w:val="8FFE64F4"/>
    <w:rsid w:val="91DF1DF7"/>
    <w:rsid w:val="93BF2078"/>
    <w:rsid w:val="94741200"/>
    <w:rsid w:val="97EB9A34"/>
    <w:rsid w:val="97FB186D"/>
    <w:rsid w:val="99CE7069"/>
    <w:rsid w:val="9A9F8793"/>
    <w:rsid w:val="9CDE347E"/>
    <w:rsid w:val="9EB0078B"/>
    <w:rsid w:val="9F2BC24F"/>
    <w:rsid w:val="9F3FC41A"/>
    <w:rsid w:val="A1BF8E07"/>
    <w:rsid w:val="A79B3A1A"/>
    <w:rsid w:val="A79F51B6"/>
    <w:rsid w:val="A7FE572C"/>
    <w:rsid w:val="AB6F2452"/>
    <w:rsid w:val="ABEC4A4B"/>
    <w:rsid w:val="ABFC295B"/>
    <w:rsid w:val="AE7F903F"/>
    <w:rsid w:val="AEDA8A83"/>
    <w:rsid w:val="AEFB0F58"/>
    <w:rsid w:val="AFB55F85"/>
    <w:rsid w:val="AFFE8E25"/>
    <w:rsid w:val="B1EFACB6"/>
    <w:rsid w:val="B1FF321D"/>
    <w:rsid w:val="B2D12BFC"/>
    <w:rsid w:val="B37B2DAF"/>
    <w:rsid w:val="B3FE962F"/>
    <w:rsid w:val="B3FFAAAB"/>
    <w:rsid w:val="B5E2EB32"/>
    <w:rsid w:val="B5FFD2EB"/>
    <w:rsid w:val="B77EE58B"/>
    <w:rsid w:val="B7BFD66A"/>
    <w:rsid w:val="B7CF79EC"/>
    <w:rsid w:val="B7EF64A1"/>
    <w:rsid w:val="B7FDF3D5"/>
    <w:rsid w:val="B7FF2545"/>
    <w:rsid w:val="B7FF3989"/>
    <w:rsid w:val="B8DF5375"/>
    <w:rsid w:val="B91FBE90"/>
    <w:rsid w:val="BA7789A8"/>
    <w:rsid w:val="BB7F5F88"/>
    <w:rsid w:val="BBAF4D52"/>
    <w:rsid w:val="BBFB8F55"/>
    <w:rsid w:val="BBFF58DD"/>
    <w:rsid w:val="BC0FADFD"/>
    <w:rsid w:val="BC9F2D4E"/>
    <w:rsid w:val="BD74C701"/>
    <w:rsid w:val="BDD781B9"/>
    <w:rsid w:val="BDDF2FF6"/>
    <w:rsid w:val="BE5E302E"/>
    <w:rsid w:val="BEE31CA4"/>
    <w:rsid w:val="BEFF9C12"/>
    <w:rsid w:val="BF5F9A6B"/>
    <w:rsid w:val="BF6ABD9F"/>
    <w:rsid w:val="BF75DCB1"/>
    <w:rsid w:val="BF7D07CB"/>
    <w:rsid w:val="BFBB3536"/>
    <w:rsid w:val="BFBE3E7D"/>
    <w:rsid w:val="BFBF03C8"/>
    <w:rsid w:val="BFD4875A"/>
    <w:rsid w:val="BFD7D9B4"/>
    <w:rsid w:val="BFE2B5EA"/>
    <w:rsid w:val="BFEF785F"/>
    <w:rsid w:val="BFF54282"/>
    <w:rsid w:val="BFF9CE63"/>
    <w:rsid w:val="BFFB4AEE"/>
    <w:rsid w:val="BFFDB6EA"/>
    <w:rsid w:val="BFFF615C"/>
    <w:rsid w:val="BFFFD483"/>
    <w:rsid w:val="BFFFDD7C"/>
    <w:rsid w:val="C3574F87"/>
    <w:rsid w:val="C7B5604E"/>
    <w:rsid w:val="C7FE6FAB"/>
    <w:rsid w:val="C7FFC5DB"/>
    <w:rsid w:val="C7FFEA45"/>
    <w:rsid w:val="CEFC9865"/>
    <w:rsid w:val="CF75942A"/>
    <w:rsid w:val="CF7E1E9D"/>
    <w:rsid w:val="CF9F5C77"/>
    <w:rsid w:val="CFAE3072"/>
    <w:rsid w:val="CFF53FA9"/>
    <w:rsid w:val="CFFC9096"/>
    <w:rsid w:val="D37F6D52"/>
    <w:rsid w:val="D3FE4E92"/>
    <w:rsid w:val="D4FBA3DA"/>
    <w:rsid w:val="D5BD01ED"/>
    <w:rsid w:val="D5D2A142"/>
    <w:rsid w:val="D68DFE12"/>
    <w:rsid w:val="D7B79319"/>
    <w:rsid w:val="D7FBB85A"/>
    <w:rsid w:val="D7FDB529"/>
    <w:rsid w:val="D99E7ED9"/>
    <w:rsid w:val="D9B48414"/>
    <w:rsid w:val="D9BEB9A9"/>
    <w:rsid w:val="D9BF401C"/>
    <w:rsid w:val="D9FF2A57"/>
    <w:rsid w:val="D9FF9EA2"/>
    <w:rsid w:val="DADEA064"/>
    <w:rsid w:val="DAFEFD5D"/>
    <w:rsid w:val="DBACA1E5"/>
    <w:rsid w:val="DBFD2CA0"/>
    <w:rsid w:val="DC9DD5F8"/>
    <w:rsid w:val="DCF50468"/>
    <w:rsid w:val="DD6FA9BA"/>
    <w:rsid w:val="DDAD40DF"/>
    <w:rsid w:val="DDB61BDD"/>
    <w:rsid w:val="DDC900DF"/>
    <w:rsid w:val="DE610DCB"/>
    <w:rsid w:val="DEEF7233"/>
    <w:rsid w:val="DEEFC299"/>
    <w:rsid w:val="DF2CF3EE"/>
    <w:rsid w:val="DF9F9060"/>
    <w:rsid w:val="DFB698EF"/>
    <w:rsid w:val="DFDB8B6D"/>
    <w:rsid w:val="DFDFD9E1"/>
    <w:rsid w:val="DFE70B43"/>
    <w:rsid w:val="DFF43940"/>
    <w:rsid w:val="DFFB1149"/>
    <w:rsid w:val="DFFBE7D0"/>
    <w:rsid w:val="DFFDA131"/>
    <w:rsid w:val="DFFF552D"/>
    <w:rsid w:val="DFFF816A"/>
    <w:rsid w:val="DFFF83A6"/>
    <w:rsid w:val="E13E843A"/>
    <w:rsid w:val="E37B7B7A"/>
    <w:rsid w:val="E3EF4BEF"/>
    <w:rsid w:val="E3FF62A3"/>
    <w:rsid w:val="E54F082D"/>
    <w:rsid w:val="E5F78A53"/>
    <w:rsid w:val="E5FF8795"/>
    <w:rsid w:val="E692DE53"/>
    <w:rsid w:val="E697C027"/>
    <w:rsid w:val="E6F7CC86"/>
    <w:rsid w:val="E7DBC77D"/>
    <w:rsid w:val="EAC19454"/>
    <w:rsid w:val="EB2BB4DD"/>
    <w:rsid w:val="EBBF96F2"/>
    <w:rsid w:val="EBEC45AB"/>
    <w:rsid w:val="EBFB7CB5"/>
    <w:rsid w:val="EC7302F9"/>
    <w:rsid w:val="ED49BBBF"/>
    <w:rsid w:val="ED5DD672"/>
    <w:rsid w:val="EDED2ED4"/>
    <w:rsid w:val="EDF49274"/>
    <w:rsid w:val="EDFFCF48"/>
    <w:rsid w:val="EE7F08E6"/>
    <w:rsid w:val="EE89DC54"/>
    <w:rsid w:val="EE9B5EAF"/>
    <w:rsid w:val="EEF50672"/>
    <w:rsid w:val="EF779BAE"/>
    <w:rsid w:val="EF7FE0F1"/>
    <w:rsid w:val="EF7FFFB7"/>
    <w:rsid w:val="EF8FF318"/>
    <w:rsid w:val="EFB7344E"/>
    <w:rsid w:val="EFBA060E"/>
    <w:rsid w:val="EFD77827"/>
    <w:rsid w:val="EFDE1B34"/>
    <w:rsid w:val="EFECEBB9"/>
    <w:rsid w:val="EFFDE3B6"/>
    <w:rsid w:val="EFFEF6C7"/>
    <w:rsid w:val="EFFFA791"/>
    <w:rsid w:val="F147E74C"/>
    <w:rsid w:val="F18B7C75"/>
    <w:rsid w:val="F1DEDD25"/>
    <w:rsid w:val="F3B2F20F"/>
    <w:rsid w:val="F3E66429"/>
    <w:rsid w:val="F3FE413B"/>
    <w:rsid w:val="F459E9F7"/>
    <w:rsid w:val="F53FB2EE"/>
    <w:rsid w:val="F5574389"/>
    <w:rsid w:val="F5CB42FD"/>
    <w:rsid w:val="F5CD0F89"/>
    <w:rsid w:val="F5FB0BDC"/>
    <w:rsid w:val="F5FD7DCE"/>
    <w:rsid w:val="F5FF5602"/>
    <w:rsid w:val="F5FF92D9"/>
    <w:rsid w:val="F5FFA8F5"/>
    <w:rsid w:val="F66FB463"/>
    <w:rsid w:val="F6A9F080"/>
    <w:rsid w:val="F6AF39C0"/>
    <w:rsid w:val="F763FBEC"/>
    <w:rsid w:val="F775BA2D"/>
    <w:rsid w:val="F7795287"/>
    <w:rsid w:val="F77F64F7"/>
    <w:rsid w:val="F77FB516"/>
    <w:rsid w:val="F79FFF21"/>
    <w:rsid w:val="F7AF8FE2"/>
    <w:rsid w:val="F7BF35EA"/>
    <w:rsid w:val="F7BFA093"/>
    <w:rsid w:val="F7EA81B3"/>
    <w:rsid w:val="F7F9605F"/>
    <w:rsid w:val="F7FD6739"/>
    <w:rsid w:val="F85B783E"/>
    <w:rsid w:val="F8DFC84B"/>
    <w:rsid w:val="F97F4D75"/>
    <w:rsid w:val="F9BD4884"/>
    <w:rsid w:val="FA77DD33"/>
    <w:rsid w:val="FA7DD524"/>
    <w:rsid w:val="FAF6DE18"/>
    <w:rsid w:val="FAFB14DB"/>
    <w:rsid w:val="FAFF1B28"/>
    <w:rsid w:val="FB3FF523"/>
    <w:rsid w:val="FB5B863A"/>
    <w:rsid w:val="FB844B2D"/>
    <w:rsid w:val="FBB19D45"/>
    <w:rsid w:val="FBB8D5D1"/>
    <w:rsid w:val="FBDFDA6D"/>
    <w:rsid w:val="FBDFF0C0"/>
    <w:rsid w:val="FBE9067D"/>
    <w:rsid w:val="FC7F6135"/>
    <w:rsid w:val="FCEDAB36"/>
    <w:rsid w:val="FCEF3052"/>
    <w:rsid w:val="FD7DC74C"/>
    <w:rsid w:val="FDDE70C8"/>
    <w:rsid w:val="FDFFC09C"/>
    <w:rsid w:val="FE2E4E3F"/>
    <w:rsid w:val="FE5F7F09"/>
    <w:rsid w:val="FEA61AA7"/>
    <w:rsid w:val="FEAB12A6"/>
    <w:rsid w:val="FEAF11E4"/>
    <w:rsid w:val="FEBEFEBD"/>
    <w:rsid w:val="FEDF84EA"/>
    <w:rsid w:val="FEE74720"/>
    <w:rsid w:val="FEEAF229"/>
    <w:rsid w:val="FEEDD7C0"/>
    <w:rsid w:val="FEEE095F"/>
    <w:rsid w:val="FEFDA629"/>
    <w:rsid w:val="FEFF3262"/>
    <w:rsid w:val="FEFF47CE"/>
    <w:rsid w:val="FEFF59B9"/>
    <w:rsid w:val="FF06C125"/>
    <w:rsid w:val="FF1966AE"/>
    <w:rsid w:val="FF3BDA0B"/>
    <w:rsid w:val="FF5766CB"/>
    <w:rsid w:val="FF79DD0F"/>
    <w:rsid w:val="FF7B074A"/>
    <w:rsid w:val="FF7CA6CE"/>
    <w:rsid w:val="FF7F515D"/>
    <w:rsid w:val="FF7F71A6"/>
    <w:rsid w:val="FF9D7B49"/>
    <w:rsid w:val="FFBA4A58"/>
    <w:rsid w:val="FFBFFA45"/>
    <w:rsid w:val="FFD7B955"/>
    <w:rsid w:val="FFDC4EB9"/>
    <w:rsid w:val="FFDF5FD8"/>
    <w:rsid w:val="FFDFF446"/>
    <w:rsid w:val="FFE3027C"/>
    <w:rsid w:val="FFE4AC1D"/>
    <w:rsid w:val="FFE5D10D"/>
    <w:rsid w:val="FFECD6D2"/>
    <w:rsid w:val="FFEDF779"/>
    <w:rsid w:val="FFEE4061"/>
    <w:rsid w:val="FFEF308C"/>
    <w:rsid w:val="FFF4C890"/>
    <w:rsid w:val="FFF62DFB"/>
    <w:rsid w:val="FFF7D8D2"/>
    <w:rsid w:val="FFFA04B1"/>
    <w:rsid w:val="FFFB7EA5"/>
    <w:rsid w:val="FFFBB21B"/>
    <w:rsid w:val="FFFC7F74"/>
    <w:rsid w:val="FFFD0F59"/>
    <w:rsid w:val="FFFEEB97"/>
    <w:rsid w:val="FFFF1019"/>
    <w:rsid w:val="FFFF1652"/>
    <w:rsid w:val="FFFF2629"/>
    <w:rsid w:val="FFFF40D4"/>
    <w:rsid w:val="FFFFC90A"/>
    <w:rsid w:val="FFFFCE41"/>
    <w:rsid w:val="FFFFF90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autoRedefine/>
    <w:unhideWhenUsed/>
    <w:qFormat/>
    <w:uiPriority w:val="1"/>
  </w:style>
  <w:style w:type="table" w:default="1" w:styleId="11">
    <w:name w:val="Normal Table"/>
    <w:autoRedefine/>
    <w:unhideWhenUsed/>
    <w:qFormat/>
    <w:uiPriority w:val="99"/>
    <w:tblPr>
      <w:tblCellMar>
        <w:top w:w="0" w:type="dxa"/>
        <w:left w:w="108" w:type="dxa"/>
        <w:bottom w:w="0" w:type="dxa"/>
        <w:right w:w="108" w:type="dxa"/>
      </w:tblCellMar>
    </w:tblPr>
  </w:style>
  <w:style w:type="paragraph" w:styleId="2">
    <w:name w:val="Body Text"/>
    <w:basedOn w:val="1"/>
    <w:next w:val="3"/>
    <w:link w:val="21"/>
    <w:autoRedefine/>
    <w:unhideWhenUsed/>
    <w:qFormat/>
    <w:uiPriority w:val="0"/>
    <w:pPr>
      <w:spacing w:after="120"/>
    </w:pPr>
  </w:style>
  <w:style w:type="paragraph" w:styleId="3">
    <w:name w:val="Title"/>
    <w:basedOn w:val="1"/>
    <w:next w:val="1"/>
    <w:autoRedefine/>
    <w:qFormat/>
    <w:uiPriority w:val="0"/>
    <w:pPr>
      <w:spacing w:before="240" w:after="60"/>
      <w:jc w:val="center"/>
      <w:outlineLvl w:val="0"/>
    </w:pPr>
    <w:rPr>
      <w:rFonts w:ascii="Arial" w:hAnsi="Arial"/>
      <w:b/>
    </w:rPr>
  </w:style>
  <w:style w:type="paragraph" w:styleId="4">
    <w:name w:val="annotation text"/>
    <w:basedOn w:val="1"/>
    <w:autoRedefine/>
    <w:qFormat/>
    <w:uiPriority w:val="0"/>
    <w:pPr>
      <w:jc w:val="left"/>
    </w:pPr>
  </w:style>
  <w:style w:type="paragraph" w:styleId="5">
    <w:name w:val="Body Text Indent"/>
    <w:basedOn w:val="1"/>
    <w:autoRedefine/>
    <w:qFormat/>
    <w:uiPriority w:val="0"/>
    <w:pPr>
      <w:spacing w:line="360" w:lineRule="auto"/>
      <w:ind w:firstLine="200" w:firstLineChars="200"/>
    </w:pPr>
    <w:rPr>
      <w:rFonts w:ascii="仿宋_GB2312" w:eastAsia="仿宋_GB2312"/>
      <w:kern w:val="0"/>
      <w:sz w:val="30"/>
      <w:szCs w:val="30"/>
    </w:rPr>
  </w:style>
  <w:style w:type="paragraph" w:styleId="6">
    <w:name w:val="Plain Text"/>
    <w:basedOn w:val="1"/>
    <w:link w:val="20"/>
    <w:unhideWhenUsed/>
    <w:qFormat/>
    <w:uiPriority w:val="99"/>
    <w:rPr>
      <w:rFonts w:ascii="宋体" w:hAnsi="Courier New" w:cs="Courier New"/>
      <w:szCs w:val="21"/>
    </w:rPr>
  </w:style>
  <w:style w:type="paragraph" w:styleId="7">
    <w:name w:val="Balloon Text"/>
    <w:basedOn w:val="1"/>
    <w:link w:val="19"/>
    <w:qFormat/>
    <w:uiPriority w:val="0"/>
    <w:rPr>
      <w:sz w:val="18"/>
      <w:szCs w:val="18"/>
    </w:rPr>
  </w:style>
  <w:style w:type="paragraph" w:styleId="8">
    <w:name w:val="footer"/>
    <w:basedOn w:val="1"/>
    <w:autoRedefine/>
    <w:qFormat/>
    <w:uiPriority w:val="99"/>
    <w:pPr>
      <w:tabs>
        <w:tab w:val="center" w:pos="4153"/>
        <w:tab w:val="right" w:pos="8306"/>
      </w:tabs>
      <w:snapToGrid w:val="0"/>
      <w:jc w:val="left"/>
    </w:pPr>
    <w:rPr>
      <w:sz w:val="18"/>
      <w:szCs w:val="18"/>
    </w:rPr>
  </w:style>
  <w:style w:type="paragraph" w:styleId="9">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autoRedefine/>
    <w:qFormat/>
    <w:uiPriority w:val="0"/>
  </w:style>
  <w:style w:type="character" w:styleId="15">
    <w:name w:val="FollowedHyperlink"/>
    <w:basedOn w:val="13"/>
    <w:autoRedefine/>
    <w:qFormat/>
    <w:uiPriority w:val="0"/>
    <w:rPr>
      <w:color w:val="800080"/>
      <w:u w:val="none"/>
    </w:rPr>
  </w:style>
  <w:style w:type="character" w:styleId="16">
    <w:name w:val="Hyperlink"/>
    <w:basedOn w:val="13"/>
    <w:autoRedefine/>
    <w:qFormat/>
    <w:uiPriority w:val="0"/>
    <w:rPr>
      <w:color w:val="0000FF"/>
      <w:u w:val="none"/>
    </w:rPr>
  </w:style>
  <w:style w:type="paragraph" w:customStyle="1" w:styleId="17">
    <w:name w:val="List Paragraph"/>
    <w:basedOn w:val="1"/>
    <w:autoRedefine/>
    <w:qFormat/>
    <w:uiPriority w:val="99"/>
    <w:pPr>
      <w:ind w:firstLine="420" w:firstLineChars="200"/>
    </w:pPr>
  </w:style>
  <w:style w:type="character" w:customStyle="1" w:styleId="18">
    <w:name w:val="页眉 Char"/>
    <w:basedOn w:val="13"/>
    <w:link w:val="9"/>
    <w:autoRedefine/>
    <w:qFormat/>
    <w:uiPriority w:val="0"/>
    <w:rPr>
      <w:kern w:val="2"/>
      <w:sz w:val="18"/>
      <w:szCs w:val="18"/>
    </w:rPr>
  </w:style>
  <w:style w:type="character" w:customStyle="1" w:styleId="19">
    <w:name w:val="批注框文本 Char"/>
    <w:basedOn w:val="13"/>
    <w:link w:val="7"/>
    <w:autoRedefine/>
    <w:qFormat/>
    <w:uiPriority w:val="0"/>
    <w:rPr>
      <w:kern w:val="2"/>
      <w:sz w:val="18"/>
      <w:szCs w:val="18"/>
    </w:rPr>
  </w:style>
  <w:style w:type="character" w:customStyle="1" w:styleId="20">
    <w:name w:val="纯文本 Char"/>
    <w:basedOn w:val="13"/>
    <w:link w:val="6"/>
    <w:autoRedefine/>
    <w:qFormat/>
    <w:uiPriority w:val="99"/>
    <w:rPr>
      <w:rFonts w:ascii="宋体" w:hAnsi="Courier New" w:cs="Courier New"/>
      <w:kern w:val="2"/>
      <w:sz w:val="21"/>
      <w:szCs w:val="21"/>
    </w:rPr>
  </w:style>
  <w:style w:type="character" w:customStyle="1" w:styleId="21">
    <w:name w:val="正文文本 Char"/>
    <w:basedOn w:val="13"/>
    <w:link w:val="2"/>
    <w:autoRedefine/>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193</Pages>
  <Words>11399</Words>
  <Characters>11886</Characters>
  <Lines>2048</Lines>
  <Paragraphs>576</Paragraphs>
  <TotalTime>1</TotalTime>
  <ScaleCrop>false</ScaleCrop>
  <LinksUpToDate>false</LinksUpToDate>
  <CharactersWithSpaces>12936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2023-05-13T00:44:00Z</dcterms:created>
  <dc:creator>行政和事业管理体制改革处-吴雪</dc:creator>
  <cp:lastModifiedBy>Rancho</cp:lastModifiedBy>
  <cp:lastPrinted>2022-07-28T04:01:00Z</cp:lastPrinted>
  <dcterms:modified xsi:type="dcterms:W3CDTF">2026-10-08T01:32:30Z</dcterms:modified>
  <dc:title>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179E1BB63E4943F19CEE9CE1FE234035</vt:lpwstr>
  </property>
  <property fmtid="{D5CDD505-2E9C-101B-9397-08002B2CF9AE}" pid="4" name="KSOTemplateDocerSaveRecord">
    <vt:lpwstr>eyJoZGlkIjoiMDcwYzMzZWU4MWNhNTdkNzY2M2IwZGRjOGFlMzgzMGMiLCJ1c2VySWQiOiI1NTk4NDAzOTcifQ==</vt:lpwstr>
  </property>
</Properties>
</file>