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280"/>
        <w:rPr>
          <w:rFonts w:hint="eastAsia" w:ascii="黑体" w:eastAsia="黑体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eastAsia="黑体" w:cs="仿宋_GB2312"/>
          <w:color w:val="auto"/>
          <w:sz w:val="32"/>
          <w:szCs w:val="32"/>
          <w:lang w:bidi="ar-SA"/>
        </w:rPr>
        <w:t>附件</w:t>
      </w:r>
      <w:r>
        <w:rPr>
          <w:rFonts w:hint="eastAsia" w:ascii="黑体" w:eastAsia="黑体" w:cs="仿宋_GB2312"/>
          <w:color w:val="auto"/>
          <w:sz w:val="32"/>
          <w:szCs w:val="32"/>
          <w:lang w:val="en-US" w:eastAsia="zh-CN" w:bidi="ar-SA"/>
        </w:rPr>
        <w:t>8</w:t>
      </w:r>
    </w:p>
    <w:p>
      <w:pPr>
        <w:spacing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健康素养监测复核调查表</w:t>
      </w:r>
    </w:p>
    <w:p>
      <w:pPr>
        <w:spacing w:line="56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</w:p>
    <w:p>
      <w:pPr>
        <w:spacing w:line="280" w:lineRule="exact"/>
        <w:jc w:val="left"/>
        <w:rPr>
          <w:rFonts w:hint="eastAsia" w:ascii="仿宋_GB2312" w:eastAsia="仿宋_GB2312"/>
          <w:b/>
          <w:color w:val="auto"/>
          <w:sz w:val="24"/>
          <w:szCs w:val="24"/>
        </w:rPr>
      </w:pPr>
      <w:r>
        <w:rPr>
          <w:rFonts w:hint="eastAsia" w:ascii="仿宋_GB2312" w:eastAsia="仿宋_GB2312"/>
          <w:b/>
          <w:color w:val="auto"/>
          <w:sz w:val="24"/>
          <w:szCs w:val="24"/>
        </w:rPr>
        <w:t>县（市、区）：                  乡镇（街道）：                        村（居委会）：</w:t>
      </w:r>
    </w:p>
    <w:p>
      <w:pPr>
        <w:spacing w:line="280" w:lineRule="exact"/>
        <w:jc w:val="left"/>
        <w:rPr>
          <w:rFonts w:hint="eastAsia" w:ascii="仿宋_GB2312" w:eastAsia="仿宋_GB2312"/>
          <w:b/>
          <w:color w:val="auto"/>
          <w:sz w:val="24"/>
          <w:szCs w:val="24"/>
        </w:rPr>
      </w:pPr>
      <w:r>
        <w:rPr>
          <w:rFonts w:hint="eastAsia" w:ascii="仿宋_GB2312" w:eastAsia="仿宋_GB2312"/>
          <w:b/>
          <w:color w:val="auto"/>
          <w:sz w:val="24"/>
          <w:szCs w:val="24"/>
        </w:rPr>
        <w:t>复核单位（盖章）：                  复核人：                            复核时间：      年   月   日-    月   日</w:t>
      </w:r>
    </w:p>
    <w:tbl>
      <w:tblPr>
        <w:tblStyle w:val="3"/>
        <w:tblW w:w="145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1275"/>
        <w:gridCol w:w="885"/>
        <w:gridCol w:w="564"/>
        <w:gridCol w:w="1134"/>
        <w:gridCol w:w="850"/>
        <w:gridCol w:w="993"/>
        <w:gridCol w:w="1103"/>
        <w:gridCol w:w="1275"/>
        <w:gridCol w:w="851"/>
        <w:gridCol w:w="567"/>
        <w:gridCol w:w="1134"/>
        <w:gridCol w:w="709"/>
        <w:gridCol w:w="850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675" w:type="dxa"/>
            <w:vMerge w:val="restar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序号</w:t>
            </w:r>
          </w:p>
        </w:tc>
        <w:tc>
          <w:tcPr>
            <w:tcW w:w="993" w:type="dxa"/>
            <w:vMerge w:val="restar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家庭户编码</w:t>
            </w:r>
          </w:p>
        </w:tc>
        <w:tc>
          <w:tcPr>
            <w:tcW w:w="5701" w:type="dxa"/>
            <w:gridSpan w:val="6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原始问卷</w:t>
            </w:r>
          </w:p>
        </w:tc>
        <w:tc>
          <w:tcPr>
            <w:tcW w:w="6489" w:type="dxa"/>
            <w:gridSpan w:val="7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复核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是否一致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/>
        </w:tc>
        <w:tc>
          <w:tcPr>
            <w:tcW w:w="993" w:type="dxa"/>
            <w:vMerge w:val="continue"/>
            <w:noWrap w:val="0"/>
            <w:vAlign w:val="center"/>
          </w:tcPr>
          <w:p/>
        </w:tc>
        <w:tc>
          <w:tcPr>
            <w:tcW w:w="12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15-69岁家庭常住成员数（人）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调查对象姓名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性别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出生年月时间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文化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程度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职业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是否调查对象本人答题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15-69岁家庭常住成员数（人）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调查对象姓名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性别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出生年月时间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文化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程度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职业</w:t>
            </w:r>
          </w:p>
        </w:tc>
        <w:tc>
          <w:tcPr>
            <w:tcW w:w="709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exac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exac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exac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3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黑体" w:eastAsia="黑体"/>
                <w:color w:val="auto"/>
                <w:szCs w:val="21"/>
              </w:rPr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exac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exac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5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exac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6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exac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exac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exact"/>
          <w:jc w:val="center"/>
        </w:trPr>
        <w:tc>
          <w:tcPr>
            <w:tcW w:w="6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9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8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56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1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exac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……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</w:tr>
    </w:tbl>
    <w:p>
      <w:pPr>
        <w:spacing w:line="320" w:lineRule="exact"/>
        <w:rPr>
          <w:rFonts w:hint="eastAsia" w:ascii="仿宋_GB2312" w:eastAsia="仿宋_GB2312"/>
          <w:b/>
          <w:color w:val="auto"/>
          <w:sz w:val="24"/>
          <w:szCs w:val="24"/>
        </w:rPr>
      </w:pPr>
    </w:p>
    <w:p>
      <w:pPr>
        <w:spacing w:line="320" w:lineRule="exact"/>
        <w:rPr>
          <w:rFonts w:hint="eastAsia" w:ascii="仿宋_GB2312" w:eastAsia="仿宋_GB2312"/>
          <w:b/>
          <w:color w:val="auto"/>
          <w:sz w:val="24"/>
          <w:szCs w:val="24"/>
        </w:rPr>
      </w:pPr>
      <w:r>
        <w:rPr>
          <w:rFonts w:hint="eastAsia" w:ascii="仿宋_GB2312" w:eastAsia="仿宋_GB2312"/>
          <w:b/>
          <w:color w:val="auto"/>
          <w:sz w:val="24"/>
          <w:szCs w:val="24"/>
        </w:rPr>
        <w:t>注：每个调查乡镇（街道）至少抽查5份调查问卷，3个乡镇（街道）共抽查不少于15份调查问卷。如15份调查问卷中有3份及以上存在问题的，则视为调查工作不合格。</w:t>
      </w:r>
    </w:p>
    <w:p>
      <w:pPr>
        <w:spacing w:line="320" w:lineRule="exact"/>
      </w:pPr>
      <w:r>
        <w:rPr>
          <w:rFonts w:hint="eastAsia" w:ascii="仿宋_GB2312" w:eastAsia="仿宋_GB2312"/>
          <w:b/>
          <w:color w:val="auto"/>
          <w:sz w:val="24"/>
          <w:szCs w:val="24"/>
        </w:rPr>
        <w:t>总体建议（    ）：</w:t>
      </w:r>
      <w:r>
        <w:rPr>
          <w:rFonts w:hint="eastAsia" w:ascii="仿宋_GB2312" w:eastAsia="仿宋_GB2312"/>
          <w:b/>
          <w:color w:val="auto"/>
          <w:sz w:val="24"/>
          <w:szCs w:val="24"/>
        </w:rPr>
        <w:fldChar w:fldCharType="begin"/>
      </w:r>
      <w:r>
        <w:rPr>
          <w:rFonts w:hint="eastAsia" w:ascii="仿宋_GB2312" w:eastAsia="仿宋_GB2312"/>
          <w:b/>
          <w:color w:val="auto"/>
          <w:sz w:val="24"/>
          <w:szCs w:val="24"/>
        </w:rPr>
        <w:instrText xml:space="preserve">= 1 \* GB3</w:instrText>
      </w:r>
      <w:r>
        <w:rPr>
          <w:rFonts w:hint="eastAsia" w:ascii="仿宋_GB2312" w:eastAsia="仿宋_GB2312"/>
          <w:b/>
          <w:color w:val="auto"/>
          <w:sz w:val="24"/>
          <w:szCs w:val="24"/>
        </w:rPr>
        <w:fldChar w:fldCharType="separate"/>
      </w:r>
      <w:r>
        <w:rPr>
          <w:rFonts w:hint="eastAsia" w:ascii="仿宋_GB2312" w:eastAsia="仿宋_GB2312"/>
          <w:b/>
          <w:color w:val="auto"/>
          <w:sz w:val="24"/>
          <w:szCs w:val="24"/>
        </w:rPr>
        <w:t>①</w:t>
      </w:r>
      <w:r>
        <w:rPr>
          <w:rFonts w:hint="eastAsia" w:ascii="仿宋_GB2312" w:eastAsia="仿宋_GB2312"/>
          <w:b/>
          <w:color w:val="auto"/>
          <w:sz w:val="24"/>
          <w:szCs w:val="24"/>
        </w:rPr>
        <w:fldChar w:fldCharType="end"/>
      </w:r>
      <w:r>
        <w:rPr>
          <w:rFonts w:hint="eastAsia" w:ascii="仿宋_GB2312" w:eastAsia="仿宋_GB2312"/>
          <w:b/>
          <w:color w:val="auto"/>
          <w:sz w:val="24"/>
          <w:szCs w:val="24"/>
        </w:rPr>
        <w:t xml:space="preserve">合格     </w:t>
      </w:r>
      <w:r>
        <w:rPr>
          <w:rFonts w:hint="eastAsia" w:ascii="仿宋_GB2312" w:eastAsia="仿宋_GB2312"/>
          <w:b/>
          <w:color w:val="auto"/>
          <w:sz w:val="24"/>
          <w:szCs w:val="24"/>
        </w:rPr>
        <w:fldChar w:fldCharType="begin"/>
      </w:r>
      <w:r>
        <w:rPr>
          <w:rFonts w:hint="eastAsia" w:ascii="仿宋_GB2312" w:eastAsia="仿宋_GB2312"/>
          <w:b/>
          <w:color w:val="auto"/>
          <w:sz w:val="24"/>
          <w:szCs w:val="24"/>
        </w:rPr>
        <w:instrText xml:space="preserve">= 2 \* GB3</w:instrText>
      </w:r>
      <w:r>
        <w:rPr>
          <w:rFonts w:hint="eastAsia" w:ascii="仿宋_GB2312" w:eastAsia="仿宋_GB2312"/>
          <w:b/>
          <w:color w:val="auto"/>
          <w:sz w:val="24"/>
          <w:szCs w:val="24"/>
        </w:rPr>
        <w:fldChar w:fldCharType="separate"/>
      </w:r>
      <w:r>
        <w:rPr>
          <w:rFonts w:hint="eastAsia" w:ascii="仿宋_GB2312" w:eastAsia="仿宋_GB2312"/>
          <w:b/>
          <w:color w:val="auto"/>
          <w:sz w:val="24"/>
          <w:szCs w:val="24"/>
        </w:rPr>
        <w:t>②</w:t>
      </w:r>
      <w:r>
        <w:rPr>
          <w:rFonts w:hint="eastAsia" w:ascii="仿宋_GB2312" w:eastAsia="仿宋_GB2312"/>
          <w:b/>
          <w:color w:val="auto"/>
          <w:sz w:val="24"/>
          <w:szCs w:val="24"/>
        </w:rPr>
        <w:fldChar w:fldCharType="end"/>
      </w:r>
      <w:r>
        <w:rPr>
          <w:rFonts w:hint="eastAsia" w:ascii="仿宋_GB2312" w:eastAsia="仿宋_GB2312"/>
          <w:b/>
          <w:color w:val="auto"/>
          <w:sz w:val="24"/>
          <w:szCs w:val="24"/>
        </w:rPr>
        <w:t>不合格（复核7项指标中有1项与原始问卷、调查情况不符则视为不一致。）</w:t>
      </w:r>
      <w:bookmarkStart w:id="0" w:name="_GoBack"/>
      <w:bookmarkEnd w:id="0"/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20F98"/>
    <w:rsid w:val="1397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等线" w:hAnsi="Times New Roman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城中区新型冠状病毒感染的肺炎疫情防控办</cp:lastModifiedBy>
  <dcterms:modified xsi:type="dcterms:W3CDTF">2020-05-24T10:28:50Z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