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eastAsia" w:ascii="Times New Roman" w:hAnsi="Times New Roman" w:eastAsia="宋体" w:cs="Times New Roman"/>
          <w:color w:val="auto"/>
          <w:sz w:val="20"/>
          <w:szCs w:val="18"/>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4</w:t>
                    </w:r>
                    <w:r>
                      <w:rPr>
                        <w:rFonts w:hint="eastAsia" w:ascii="宋体" w:hAnsi="宋体" w:eastAsia="宋体" w:cs="宋体"/>
                        <w:color w:val="auto"/>
                        <w:sz w:val="28"/>
                      </w:rPr>
                      <w:t>〕</w:t>
                    </w:r>
                    <w:r>
                      <w:rPr>
                        <w:rFonts w:hint="eastAsia" w:ascii="宋体" w:hAnsi="宋体" w:cs="宋体"/>
                        <w:color w:val="auto"/>
                        <w:sz w:val="28"/>
                        <w:lang w:val="en-US" w:eastAsia="zh-CN"/>
                      </w:rPr>
                      <w:t>15</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w w:val="90"/>
          <w:sz w:val="44"/>
          <w:szCs w:val="44"/>
          <w:highlight w:val="none"/>
        </w:rPr>
        <w:t>关于</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年城中区老旧小区</w:t>
      </w:r>
      <w:r>
        <w:rPr>
          <w:rFonts w:hint="eastAsia" w:ascii="方正小标宋简体" w:hAnsi="方正小标宋简体" w:eastAsia="方正小标宋简体" w:cs="方正小标宋简体"/>
          <w:bCs/>
          <w:color w:val="auto"/>
          <w:sz w:val="44"/>
          <w:szCs w:val="44"/>
          <w:highlight w:val="none"/>
          <w:lang w:val="en-US" w:eastAsia="zh-CN"/>
        </w:rPr>
        <w:t>配套基础设施改造工程</w:t>
      </w:r>
      <w:r>
        <w:rPr>
          <w:rFonts w:hint="eastAsia" w:ascii="方正小标宋简体" w:hAnsi="方正小标宋简体" w:eastAsia="方正小标宋简体" w:cs="方正小标宋简体"/>
          <w:color w:val="auto"/>
          <w:spacing w:val="-14"/>
          <w:sz w:val="44"/>
          <w:szCs w:val="44"/>
        </w:rPr>
        <w:t>（</w:t>
      </w:r>
      <w:r>
        <w:rPr>
          <w:rFonts w:hint="eastAsia" w:ascii="方正小标宋简体" w:hAnsi="方正小标宋简体" w:eastAsia="方正小标宋简体" w:cs="方正小标宋简体"/>
          <w:color w:val="auto"/>
          <w:spacing w:val="-14"/>
          <w:sz w:val="44"/>
          <w:szCs w:val="44"/>
          <w:lang w:val="en-US" w:eastAsia="zh-CN"/>
        </w:rPr>
        <w:t>五</w:t>
      </w:r>
      <w:r>
        <w:rPr>
          <w:rFonts w:hint="eastAsia" w:ascii="方正小标宋简体" w:hAnsi="方正小标宋简体" w:eastAsia="方正小标宋简体" w:cs="方正小标宋简体"/>
          <w:color w:val="auto"/>
          <w:spacing w:val="-14"/>
          <w:sz w:val="44"/>
          <w:szCs w:val="44"/>
        </w:rPr>
        <w:t>期）</w:t>
      </w:r>
      <w:r>
        <w:rPr>
          <w:rFonts w:hint="eastAsia" w:ascii="方正小标宋简体" w:hAnsi="方正小标宋简体" w:eastAsia="方正小标宋简体" w:cs="方正小标宋简体"/>
          <w:bCs/>
          <w:color w:val="auto"/>
          <w:sz w:val="44"/>
          <w:szCs w:val="44"/>
          <w:highlight w:val="none"/>
          <w:lang w:val="en-US" w:eastAsia="zh-CN"/>
        </w:rPr>
        <w:t>初步设计</w:t>
      </w:r>
      <w:r>
        <w:rPr>
          <w:rFonts w:hint="eastAsia" w:ascii="方正小标宋简体" w:hAnsi="方正小标宋简体" w:eastAsia="方正小标宋简体" w:cs="方正小标宋简体"/>
          <w:bCs/>
          <w:color w:val="auto"/>
          <w:sz w:val="44"/>
          <w:szCs w:val="44"/>
          <w:highlight w:val="none"/>
        </w:rPr>
        <w:t>的批复</w:t>
      </w:r>
    </w:p>
    <w:p>
      <w:pPr>
        <w:pStyle w:val="9"/>
        <w:keepNext w:val="0"/>
        <w:keepLines w:val="0"/>
        <w:pageBreakBefore w:val="0"/>
        <w:widowControl w:val="0"/>
        <w:kinsoku/>
        <w:wordWrap/>
        <w:overflowPunct/>
        <w:topLinePunct w:val="0"/>
        <w:autoSpaceDE/>
        <w:autoSpaceDN/>
        <w:bidi w:val="0"/>
        <w:adjustRightInd w:val="0"/>
        <w:snapToGrid/>
        <w:spacing w:after="0" w:line="500" w:lineRule="exact"/>
        <w:jc w:val="center"/>
        <w:textAlignment w:val="baseline"/>
        <w:rPr>
          <w:rFonts w:hint="default" w:ascii="Times New Roman" w:hAnsi="Times New Roman" w:eastAsia="仿宋_GB2312" w:cs="方正小标宋简体"/>
          <w:bCs/>
          <w:color w:val="auto"/>
          <w:sz w:val="32"/>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80" w:lineRule="exact"/>
        <w:ind w:left="0"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w:t>
      </w:r>
      <w:r>
        <w:rPr>
          <w:rFonts w:hint="eastAsia" w:ascii="Times New Roman" w:hAnsi="Times New Roman" w:eastAsia="仿宋_GB2312" w:cs="方正小标宋简体"/>
          <w:sz w:val="32"/>
          <w:szCs w:val="44"/>
        </w:rPr>
        <w:t>城中区老旧小区配套基础设施改造工程（</w:t>
      </w:r>
      <w:r>
        <w:rPr>
          <w:rFonts w:hint="eastAsia" w:ascii="Times New Roman" w:hAnsi="Times New Roman" w:eastAsia="仿宋_GB2312" w:cs="方正小标宋简体"/>
          <w:sz w:val="32"/>
          <w:szCs w:val="44"/>
          <w:lang w:val="en-US" w:eastAsia="zh-CN"/>
        </w:rPr>
        <w:t>五</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autoSpaceDE/>
        <w:autoSpaceDN/>
        <w:bidi w:val="0"/>
        <w:adjustRightInd w:val="0"/>
        <w:snapToGrid/>
        <w:spacing w:line="580" w:lineRule="exact"/>
        <w:ind w:left="0"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原则同意该项目初步设计。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w:t>
      </w:r>
      <w:r>
        <w:rPr>
          <w:rFonts w:hint="eastAsia" w:ascii="Times New Roman" w:hAnsi="Times New Roman" w:eastAsia="仿宋_GB2312" w:cs="仿宋_GB2312"/>
          <w:sz w:val="32"/>
          <w:szCs w:val="32"/>
          <w:lang w:val="en-US" w:eastAsia="zh-CN"/>
        </w:rPr>
        <w:t>2309-450202-04-01-411108</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firstLine="640" w:firstLineChars="200"/>
        <w:textAlignment w:val="baseline"/>
        <w:rPr>
          <w:rFonts w:hint="eastAsia" w:ascii="Times New Roman" w:hAnsi="Times New Roman" w:eastAsia="仿宋_GB2312" w:cs="宋体"/>
          <w:color w:val="000000"/>
          <w:kern w:val="0"/>
          <w:sz w:val="32"/>
          <w:szCs w:val="30"/>
          <w:lang w:val="en-US" w:eastAsia="zh-CN" w:bidi="ar-SA"/>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sz w:val="32"/>
          <w:szCs w:val="32"/>
          <w:lang w:val="en-US" w:eastAsia="zh-CN"/>
        </w:rPr>
        <w:t>广西联勤公司宿舍（达江路金桂巷2号）、农行宿舍（潭中东路27号）、望江雅居（城中区沿江路13号）、质量技术监督局宿舍（城中区海关路7号）、市政设计院宿舍（城中区达江路金桂巷5号）、建科院（城中区高新南路22号）、来宾国税宿舍（城中区沿江路8号）、金桂苑四区（达江路1号）、</w:t>
      </w:r>
      <w:r>
        <w:rPr>
          <w:rFonts w:hint="eastAsia" w:ascii="Times New Roman" w:hAnsi="Times New Roman" w:eastAsia="仿宋_GB2312" w:cs="宋体"/>
          <w:color w:val="000000"/>
          <w:kern w:val="0"/>
          <w:sz w:val="32"/>
          <w:szCs w:val="30"/>
          <w:lang w:val="en-US" w:eastAsia="zh-CN" w:bidi="ar-SA"/>
        </w:rPr>
        <w:t>地区交警支队</w:t>
      </w:r>
      <w:r>
        <w:rPr>
          <w:rFonts w:hint="default" w:ascii="Times New Roman" w:hAnsi="Times New Roman" w:eastAsia="仿宋_GB2312" w:cs="Times New Roman"/>
          <w:color w:val="000000"/>
          <w:kern w:val="0"/>
          <w:sz w:val="32"/>
          <w:szCs w:val="30"/>
          <w:lang w:val="en-US" w:eastAsia="zh-CN" w:bidi="ar-SA"/>
        </w:rPr>
        <w:t>2</w:t>
      </w:r>
      <w:r>
        <w:rPr>
          <w:rFonts w:hint="eastAsia" w:ascii="Times New Roman" w:hAnsi="Times New Roman" w:eastAsia="仿宋_GB2312" w:cs="宋体"/>
          <w:color w:val="000000"/>
          <w:kern w:val="0"/>
          <w:sz w:val="32"/>
          <w:szCs w:val="30"/>
          <w:lang w:val="en-US" w:eastAsia="zh-CN" w:bidi="ar-SA"/>
        </w:rPr>
        <w:t>号院（东城路6号）。</w:t>
      </w:r>
    </w:p>
    <w:p>
      <w:pPr>
        <w:keepNext w:val="0"/>
        <w:keepLines w:val="0"/>
        <w:pageBreakBefore w:val="0"/>
        <w:widowControl w:val="0"/>
        <w:kinsoku/>
        <w:wordWrap/>
        <w:overflowPunct/>
        <w:topLinePunct w:val="0"/>
        <w:autoSpaceDE/>
        <w:autoSpaceDN/>
        <w:bidi w:val="0"/>
        <w:adjustRightInd w:val="0"/>
        <w:snapToGrid/>
        <w:spacing w:line="580" w:lineRule="exact"/>
        <w:ind w:left="0"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2024 年城中区老旧小区配套基础设施改造工程（五期）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9</w:t>
      </w:r>
      <w:r>
        <w:rPr>
          <w:rFonts w:hint="eastAsia" w:ascii="Times New Roman" w:hAnsi="Times New Roman" w:eastAsia="仿宋_GB2312" w:cs="仿宋_GB2312"/>
          <w:color w:val="auto"/>
          <w:spacing w:val="-12"/>
          <w:sz w:val="32"/>
          <w:szCs w:val="32"/>
        </w:rPr>
        <w:t>个，改造楼栋</w:t>
      </w:r>
      <w:r>
        <w:rPr>
          <w:rFonts w:hint="eastAsia" w:ascii="Times New Roman" w:hAnsi="Times New Roman" w:eastAsia="仿宋_GB2312" w:cs="仿宋_GB2312"/>
          <w:color w:val="auto"/>
          <w:spacing w:val="-12"/>
          <w:sz w:val="32"/>
          <w:szCs w:val="32"/>
          <w:lang w:val="en-US" w:eastAsia="zh-CN"/>
        </w:rPr>
        <w:t>30</w:t>
      </w:r>
      <w:r>
        <w:rPr>
          <w:rFonts w:hint="eastAsia" w:ascii="Times New Roman" w:hAnsi="Times New Roman" w:eastAsia="仿宋_GB2312" w:cs="仿宋_GB2312"/>
          <w:color w:val="auto"/>
          <w:spacing w:val="-12"/>
          <w:sz w:val="32"/>
          <w:szCs w:val="32"/>
        </w:rPr>
        <w:t>栋，</w:t>
      </w:r>
      <w:r>
        <w:rPr>
          <w:rFonts w:hint="eastAsia" w:ascii="Times New Roman" w:hAnsi="Times New Roman" w:eastAsia="仿宋_GB2312" w:cs="仿宋_GB2312"/>
          <w:color w:val="auto"/>
          <w:spacing w:val="-12"/>
          <w:sz w:val="32"/>
          <w:szCs w:val="32"/>
          <w:lang w:val="en-US" w:eastAsia="zh-CN"/>
        </w:rPr>
        <w:t>涉及</w:t>
      </w:r>
      <w:r>
        <w:rPr>
          <w:rFonts w:hint="eastAsia" w:ascii="Times New Roman" w:hAnsi="Times New Roman" w:eastAsia="仿宋_GB2312" w:cs="仿宋_GB2312"/>
          <w:color w:val="auto"/>
          <w:spacing w:val="-12"/>
          <w:sz w:val="32"/>
          <w:szCs w:val="32"/>
        </w:rPr>
        <w:t>改造住户</w:t>
      </w:r>
      <w:r>
        <w:rPr>
          <w:rFonts w:hint="eastAsia" w:ascii="Times New Roman" w:hAnsi="Times New Roman" w:eastAsia="仿宋_GB2312" w:cs="仿宋_GB2312"/>
          <w:sz w:val="32"/>
          <w:szCs w:val="32"/>
          <w:lang w:val="en-US" w:eastAsia="zh-CN"/>
        </w:rPr>
        <w:t>511</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仿宋_GB2312"/>
          <w:sz w:val="32"/>
          <w:szCs w:val="32"/>
          <w:lang w:val="en-US" w:eastAsia="zh-CN"/>
        </w:rPr>
        <w:t>6.23</w:t>
      </w:r>
      <w:r>
        <w:rPr>
          <w:rFonts w:hint="eastAsia" w:ascii="Times New Roman" w:hAnsi="Times New Roman" w:eastAsia="仿宋_GB2312" w:cs="仿宋_GB2312"/>
          <w:color w:val="auto"/>
          <w:spacing w:val="-12"/>
          <w:sz w:val="32"/>
          <w:szCs w:val="32"/>
        </w:rPr>
        <w:t>万平方米。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16" w:firstLineChars="200"/>
        <w:jc w:val="both"/>
        <w:textAlignment w:val="auto"/>
        <w:outlineLvl w:val="9"/>
        <w:rPr>
          <w:rFonts w:hint="eastAsia" w:ascii="Times New Roman" w:hAnsi="Times New Roman" w:eastAsia="仿宋_GB2312" w:cs="仿宋_GB2312"/>
          <w:b w:val="0"/>
          <w:bCs w:val="0"/>
          <w:color w:val="auto"/>
          <w:spacing w:val="-6"/>
          <w:sz w:val="32"/>
          <w:szCs w:val="32"/>
          <w:lang w:val="en-US" w:eastAsia="zh-CN"/>
        </w:rPr>
      </w:pPr>
      <w:r>
        <w:rPr>
          <w:rFonts w:hint="eastAsia" w:ascii="Times New Roman" w:hAnsi="Times New Roman" w:eastAsia="仿宋_GB2312" w:cs="仿宋_GB2312"/>
          <w:color w:val="auto"/>
          <w:spacing w:val="-6"/>
          <w:sz w:val="32"/>
          <w:szCs w:val="32"/>
        </w:rPr>
        <w:t>主要内容包括：</w:t>
      </w:r>
      <w:r>
        <w:rPr>
          <w:rFonts w:hint="eastAsia" w:ascii="Times New Roman" w:hAnsi="Times New Roman" w:eastAsia="仿宋_GB2312" w:cs="仿宋_GB2312"/>
          <w:b w:val="0"/>
          <w:bCs w:val="0"/>
          <w:sz w:val="32"/>
          <w:szCs w:val="32"/>
          <w:lang w:val="en-US" w:eastAsia="zh-CN"/>
        </w:rPr>
        <w:t>小区路面改造、围墙和大门改造、绿化改造、非机动车棚改造、疏通并修复现状排水系统、新增微型消防站、新增路灯照明系统、新增安防监控系统、新增出入口道闸、新增宣传栏和垃圾分类亭等便民服务设施。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项目总投资概算为</w:t>
      </w:r>
      <w:r>
        <w:rPr>
          <w:rFonts w:hint="eastAsia" w:ascii="Times New Roman" w:hAnsi="Times New Roman" w:eastAsia="仿宋_GB2312" w:cs="仿宋_GB2312"/>
          <w:sz w:val="32"/>
          <w:szCs w:val="32"/>
          <w:lang w:val="en-US" w:eastAsia="zh-CN"/>
        </w:rPr>
        <w:t>551.73</w:t>
      </w:r>
      <w:r>
        <w:rPr>
          <w:rFonts w:hint="eastAsia" w:ascii="Times New Roman" w:hAnsi="Times New Roman" w:eastAsia="仿宋_GB2312" w:cs="仿宋_GB2312"/>
          <w:color w:val="auto"/>
          <w:sz w:val="32"/>
          <w:szCs w:val="32"/>
          <w:lang w:val="en-US" w:eastAsia="zh-CN"/>
        </w:rPr>
        <w:t>万元，其中工程费用</w:t>
      </w:r>
      <w:r>
        <w:rPr>
          <w:rFonts w:hint="eastAsia" w:ascii="Times New Roman" w:hAnsi="Times New Roman" w:eastAsia="仿宋_GB2312" w:cs="仿宋_GB2312"/>
          <w:sz w:val="32"/>
          <w:szCs w:val="32"/>
          <w:lang w:val="en-US" w:eastAsia="zh-CN"/>
        </w:rPr>
        <w:t>446.54</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ascii="Times New Roman" w:hAnsi="Times New Roman" w:eastAsia="仿宋_GB2312" w:cs="仿宋_GB2312"/>
          <w:sz w:val="32"/>
          <w:szCs w:val="32"/>
          <w:lang w:val="en-US" w:eastAsia="zh-CN"/>
        </w:rPr>
        <w:t>64.32</w:t>
      </w:r>
      <w:r>
        <w:rPr>
          <w:rFonts w:hint="eastAsia" w:ascii="Times New Roman" w:hAnsi="Times New Roman" w:eastAsia="仿宋_GB2312" w:cs="仿宋_GB2312"/>
          <w:color w:val="auto"/>
          <w:sz w:val="32"/>
          <w:szCs w:val="32"/>
          <w:lang w:val="en-US" w:eastAsia="zh-CN"/>
        </w:rPr>
        <w:t>万元，基本预备费</w:t>
      </w:r>
      <w:r>
        <w:rPr>
          <w:rFonts w:hint="eastAsia" w:ascii="Times New Roman" w:hAnsi="Times New Roman" w:eastAsia="仿宋_GB2312" w:cs="仿宋_GB2312"/>
          <w:sz w:val="32"/>
          <w:szCs w:val="32"/>
          <w:lang w:val="en-US" w:eastAsia="zh-CN"/>
        </w:rPr>
        <w:t>40.87</w:t>
      </w:r>
      <w:r>
        <w:rPr>
          <w:rFonts w:hint="eastAsia"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highlight w:val="none"/>
          <w:lang w:val="en-US" w:eastAsia="zh-CN"/>
        </w:rPr>
        <w:t>资金来源为申请中央预算内投资和城区财政资金。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80" w:lineRule="exact"/>
        <w:ind w:left="0"/>
        <w:textAlignment w:val="baseline"/>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80" w:lineRule="exact"/>
        <w:ind w:left="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方正小标宋简体"/>
          <w:sz w:val="32"/>
          <w:szCs w:val="44"/>
        </w:rPr>
        <w:t>2024年城中区老旧小区配套基础设施改造工程（</w:t>
      </w:r>
      <w:r>
        <w:rPr>
          <w:rFonts w:hint="eastAsia" w:ascii="Times New Roman" w:hAnsi="Times New Roman" w:eastAsia="仿宋_GB2312" w:cs="方正小标宋简体"/>
          <w:sz w:val="32"/>
          <w:szCs w:val="44"/>
          <w:lang w:val="en-US" w:eastAsia="zh-CN"/>
        </w:rPr>
        <w:t>五</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bCs/>
          <w:sz w:val="32"/>
          <w:szCs w:val="32"/>
          <w:highlight w:val="none"/>
          <w:lang w:val="en-US" w:eastAsia="zh-CN"/>
        </w:rPr>
        <w:t>总投资</w:t>
      </w:r>
      <w:r>
        <w:rPr>
          <w:rFonts w:hint="eastAsia" w:ascii="Times New Roman" w:hAnsi="Times New Roman" w:eastAsia="仿宋_GB2312" w:cs="仿宋_GB2312"/>
          <w:color w:val="auto"/>
          <w:sz w:val="32"/>
          <w:szCs w:val="32"/>
        </w:rPr>
        <w:t>概算表</w:t>
      </w:r>
    </w:p>
    <w:p>
      <w:pPr>
        <w:pStyle w:val="6"/>
        <w:keepNext w:val="0"/>
        <w:keepLines w:val="0"/>
        <w:pageBreakBefore w:val="0"/>
        <w:widowControl w:val="0"/>
        <w:kinsoku/>
        <w:wordWrap/>
        <w:overflowPunct/>
        <w:topLinePunct w:val="0"/>
        <w:autoSpaceDE/>
        <w:autoSpaceDN/>
        <w:bidi w:val="0"/>
        <w:snapToGrid/>
        <w:spacing w:line="580" w:lineRule="exact"/>
        <w:ind w:left="0"/>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textAlignment w:val="baseline"/>
        <w:outlineLvl w:val="9"/>
        <w:rPr>
          <w:rFonts w:hint="eastAsia" w:ascii="Times New Roman" w:hAnsi="Times New Roman" w:eastAsia="仿宋_GB2312"/>
          <w:color w:val="auto"/>
          <w:sz w:val="32"/>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24年10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28日</w:t>
      </w:r>
    </w:p>
    <w:p>
      <w:pPr>
        <w:keepNext w:val="0"/>
        <w:keepLines w:val="0"/>
        <w:pageBreakBefore w:val="0"/>
        <w:widowControl w:val="0"/>
        <w:kinsoku/>
        <w:wordWrap/>
        <w:overflowPunct/>
        <w:topLinePunct w:val="0"/>
        <w:autoSpaceDE/>
        <w:autoSpaceDN/>
        <w:bidi w:val="0"/>
        <w:adjustRightInd w:val="0"/>
        <w:snapToGrid/>
        <w:spacing w:line="580" w:lineRule="exact"/>
        <w:ind w:left="0" w:hanging="1285" w:hangingChars="400"/>
        <w:textAlignment w:val="baseline"/>
        <w:rPr>
          <w:rFonts w:hint="default" w:ascii="Times New Roman" w:hAnsi="Times New Roman" w:eastAsia="楷体_GB2312" w:cs="Times New Roman"/>
          <w:b/>
          <w:color w:val="auto"/>
          <w:sz w:val="32"/>
          <w:szCs w:val="32"/>
          <w:highlight w:val="none"/>
          <w:u w:val="single"/>
        </w:rPr>
      </w:pPr>
    </w:p>
    <w:p>
      <w:pPr>
        <w:pStyle w:val="10"/>
        <w:keepNext w:val="0"/>
        <w:keepLines w:val="0"/>
        <w:pageBreakBefore w:val="0"/>
        <w:widowControl w:val="0"/>
        <w:kinsoku/>
        <w:wordWrap/>
        <w:overflowPunct/>
        <w:topLinePunct w:val="0"/>
        <w:autoSpaceDE/>
        <w:autoSpaceDN/>
        <w:bidi w:val="0"/>
        <w:snapToGrid/>
        <w:spacing w:after="0" w:line="580" w:lineRule="exact"/>
        <w:ind w:left="0" w:leftChars="0" w:firstLine="640" w:firstLineChars="200"/>
        <w:rPr>
          <w:rFonts w:hint="eastAsia" w:eastAsia="楷体_GB2312" w:cs="Times New Roman"/>
          <w:b/>
          <w:color w:val="auto"/>
          <w:sz w:val="32"/>
          <w:szCs w:val="32"/>
          <w:highlight w:val="none"/>
          <w:u w:val="single"/>
          <w:lang w:val="en-US"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snapToGrid/>
        <w:spacing w:line="580" w:lineRule="exact"/>
        <w:rPr>
          <w:rFonts w:hint="eastAsia"/>
          <w:lang w:val="en-US" w:eastAsia="zh-CN"/>
        </w:rPr>
      </w:pPr>
    </w:p>
    <w:p>
      <w:pPr>
        <w:pStyle w:val="2"/>
        <w:keepNext w:val="0"/>
        <w:keepLines w:val="0"/>
        <w:pageBreakBefore w:val="0"/>
        <w:kinsoku/>
        <w:overflowPunct/>
        <w:topLinePunct w:val="0"/>
        <w:autoSpaceDE/>
        <w:autoSpaceDN/>
        <w:bidi w:val="0"/>
        <w:snapToGrid/>
        <w:spacing w:after="0" w:line="580" w:lineRule="exact"/>
        <w:rPr>
          <w:rFonts w:hint="eastAsia"/>
          <w:lang w:val="en-US" w:eastAsia="zh-CN"/>
        </w:rPr>
      </w:pPr>
    </w:p>
    <w:p>
      <w:pPr>
        <w:pStyle w:val="3"/>
        <w:keepNext w:val="0"/>
        <w:keepLines w:val="0"/>
        <w:pageBreakBefore w:val="0"/>
        <w:kinsoku/>
        <w:overflowPunct/>
        <w:topLinePunct w:val="0"/>
        <w:autoSpaceDE/>
        <w:autoSpaceDN/>
        <w:bidi w:val="0"/>
        <w:snapToGrid/>
        <w:spacing w:before="0" w:after="0" w:line="580" w:lineRule="exact"/>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ind w:left="0" w:leftChars="0" w:firstLine="0" w:firstLineChars="0"/>
        <w:jc w:val="both"/>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黑体" w:hAnsi="黑体" w:eastAsia="黑体"/>
          <w:color w:val="auto"/>
          <w:sz w:val="32"/>
          <w:szCs w:val="32"/>
          <w:highlight w:val="none"/>
          <w:lang w:val="en-US"/>
        </w:rPr>
        <w:sectPr>
          <w:headerReference r:id="rId6" w:type="first"/>
          <w:footerReference r:id="rId8" w:type="first"/>
          <w:headerReference r:id="rId5" w:type="default"/>
          <w:footerReference r:id="rId7" w:type="default"/>
          <w:pgSz w:w="11905" w:h="16837"/>
          <w:pgMar w:top="1417" w:right="1587" w:bottom="1417" w:left="158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Raavi">
    <w:panose1 w:val="020B0502040204020203"/>
    <w:charset w:val="00"/>
    <w:family w:val="auto"/>
    <w:pitch w:val="default"/>
    <w:sig w:usb0="0002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Miriam">
    <w:panose1 w:val="020B0502050101010101"/>
    <w:charset w:val="00"/>
    <w:family w:val="auto"/>
    <w:pitch w:val="default"/>
    <w:sig w:usb0="00000801"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auto"/>
    <w:pitch w:val="default"/>
    <w:sig w:usb0="E0000287" w:usb1="40000013" w:usb2="00000000" w:usb3="00000000" w:csb0="2000019F" w:csb1="00000000"/>
  </w:font>
  <w:font w:name="Sakkal Majalla">
    <w:panose1 w:val="02000000000000000000"/>
    <w:charset w:val="00"/>
    <w:family w:val="auto"/>
    <w:pitch w:val="default"/>
    <w:sig w:usb0="A000207F" w:usb1="C000204B" w:usb2="00000008" w:usb3="00000000" w:csb0="200000D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81" o:spid="_x0000_s2081" o:spt="202" type="#_x0000_t202" style="position:absolute;left:0pt;margin-top:-27pt;height:41.2pt;width:50.2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24.8pt;width:89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82" o:spid="_x0000_s2082" o:spt="202" type="#_x0000_t202" style="position:absolute;left:0pt;margin-top:-27pt;height:29.25pt;width:62.2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6500F8"/>
    <w:rsid w:val="03C561E4"/>
    <w:rsid w:val="051E1FF4"/>
    <w:rsid w:val="07B714CA"/>
    <w:rsid w:val="07DC6674"/>
    <w:rsid w:val="08362F4D"/>
    <w:rsid w:val="0A910858"/>
    <w:rsid w:val="0A9B1F4D"/>
    <w:rsid w:val="0B27504B"/>
    <w:rsid w:val="13D515CD"/>
    <w:rsid w:val="14551B82"/>
    <w:rsid w:val="155C643E"/>
    <w:rsid w:val="1560212A"/>
    <w:rsid w:val="156F0D07"/>
    <w:rsid w:val="17746684"/>
    <w:rsid w:val="18CB4268"/>
    <w:rsid w:val="1C233926"/>
    <w:rsid w:val="1C97074E"/>
    <w:rsid w:val="1FC43A2D"/>
    <w:rsid w:val="23E76584"/>
    <w:rsid w:val="25A82B55"/>
    <w:rsid w:val="269D47D5"/>
    <w:rsid w:val="27482766"/>
    <w:rsid w:val="28057687"/>
    <w:rsid w:val="28236631"/>
    <w:rsid w:val="284E569A"/>
    <w:rsid w:val="2A1B5F4E"/>
    <w:rsid w:val="2B0D7846"/>
    <w:rsid w:val="2C50167C"/>
    <w:rsid w:val="2E7168D5"/>
    <w:rsid w:val="2FD778CA"/>
    <w:rsid w:val="31AC6D17"/>
    <w:rsid w:val="31B23A98"/>
    <w:rsid w:val="327174A9"/>
    <w:rsid w:val="33EC3333"/>
    <w:rsid w:val="353869B8"/>
    <w:rsid w:val="37B1036E"/>
    <w:rsid w:val="37D800AA"/>
    <w:rsid w:val="380C1690"/>
    <w:rsid w:val="3A0950A7"/>
    <w:rsid w:val="3A8673A2"/>
    <w:rsid w:val="3AAD2C8A"/>
    <w:rsid w:val="3C13079F"/>
    <w:rsid w:val="3C190114"/>
    <w:rsid w:val="3CBE503F"/>
    <w:rsid w:val="3F721126"/>
    <w:rsid w:val="3FF73350"/>
    <w:rsid w:val="40101F5B"/>
    <w:rsid w:val="40AB488F"/>
    <w:rsid w:val="43A44BAD"/>
    <w:rsid w:val="47426E34"/>
    <w:rsid w:val="47446A78"/>
    <w:rsid w:val="477403A6"/>
    <w:rsid w:val="48ED6699"/>
    <w:rsid w:val="49721A29"/>
    <w:rsid w:val="4AC32269"/>
    <w:rsid w:val="4B2560D5"/>
    <w:rsid w:val="4B520BBC"/>
    <w:rsid w:val="4EC216CF"/>
    <w:rsid w:val="4F223BBB"/>
    <w:rsid w:val="4FE85CE7"/>
    <w:rsid w:val="501A7887"/>
    <w:rsid w:val="508B6C32"/>
    <w:rsid w:val="526E25FD"/>
    <w:rsid w:val="532136E9"/>
    <w:rsid w:val="56D35A71"/>
    <w:rsid w:val="56E2037C"/>
    <w:rsid w:val="5C09435E"/>
    <w:rsid w:val="5CF14DE0"/>
    <w:rsid w:val="5D2D568B"/>
    <w:rsid w:val="5DE612A5"/>
    <w:rsid w:val="5F2C2894"/>
    <w:rsid w:val="5F631169"/>
    <w:rsid w:val="60B2311C"/>
    <w:rsid w:val="60EE10ED"/>
    <w:rsid w:val="62EC3E31"/>
    <w:rsid w:val="63B941AB"/>
    <w:rsid w:val="63F75AD9"/>
    <w:rsid w:val="64002AA2"/>
    <w:rsid w:val="64311286"/>
    <w:rsid w:val="65F94D64"/>
    <w:rsid w:val="66756A5B"/>
    <w:rsid w:val="67517F99"/>
    <w:rsid w:val="690E5ED3"/>
    <w:rsid w:val="69B610FC"/>
    <w:rsid w:val="6A27404E"/>
    <w:rsid w:val="6B297E52"/>
    <w:rsid w:val="6DE024AC"/>
    <w:rsid w:val="6F5F4F9E"/>
    <w:rsid w:val="6FFA2839"/>
    <w:rsid w:val="70FA3967"/>
    <w:rsid w:val="757D47E2"/>
    <w:rsid w:val="75D93CE6"/>
    <w:rsid w:val="764A63C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81" textRotate="1"/>
    <customShpInfo spid="_x0000_s2056" textRotate="1"/>
    <customShpInfo spid="_x0000_s2052"/>
    <customShpInfo spid="_x0000_s2082" textRotate="1"/>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2024-10-28T09:30:28Z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