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2C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eastAsia="宋体" w:cs="Times New Roman"/>
          <w:color w:val="auto"/>
          <w:sz w:val="20"/>
          <w:szCs w:val="18"/>
          <w:highlight w:val="none"/>
          <w:lang w:val="en-US" w:eastAsia="zh-CN"/>
        </w:rPr>
      </w:pPr>
    </w:p>
    <w:p w14:paraId="09A2E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 w14:paraId="0E2D8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 w14:paraId="23A1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 w14:paraId="4839F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</w:p>
    <w:p w14:paraId="5EE64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714"/>
        <w:textAlignment w:val="baseline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1"/>
          <w:highlight w:val="none"/>
          <w:lang w:val="en-US" w:eastAsia="zh-CN" w:bidi="ar-SA"/>
        </w:rPr>
        <w:pict>
          <v:group id="组合 3" o:spid="_x0000_s1030" o:spt="203" style="position:absolute;left:0pt;margin-left:218.7pt;margin-top:212.7pt;height:33.05pt;width:189pt;mso-position-horizontal-relative:page;mso-position-vertical-relative:page;z-index:251659264;mso-width-relative:page;mso-height-relative:page;" coordsize="3780,476">
            <o:lock v:ext="edit" position="f" selection="f" grouping="f" rotation="f" cropping="f" text="f" aspectratio="f"/>
            <v:shape id="任意多边形 1" o:spid="_x0000_s1031" style="position:absolute;left:0;top:0;height:476;width:3780;" fillcolor="#FFFFFF" filled="f" o:preferrelative="t" stroked="f" coordsize="20000,20000" path="m0,0l0,20000,20000,20000,20000,0,0,0e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</v:shape>
            <v:rect id="矩形 2" o:spid="_x0000_s1032" o:spt="1" style="position:absolute;left:0;top:0;height:476;width:3780;" fillcolor="#FFFFFF" filled="f" o:preferrelative="t" stroked="f" coordsize="21600,21600">
              <v:path/>
              <v:fill on="f" color2="#FFFFFF" focussize="0,0"/>
              <v:stroke on="f"/>
              <v:imagedata gain="65536f" blacklevel="0f" gamma="0" o:title=""/>
              <o:lock v:ext="edit" position="f" selection="f" grouping="f" rotation="f" cropping="f" text="f" aspectratio="f"/>
              <v:textbox inset="0mm,0mm,0mm,0mm">
                <w:txbxContent>
                  <w:p w14:paraId="612D5DD6">
                    <w:pPr>
                      <w:spacing w:line="240" w:lineRule="auto"/>
                      <w:jc w:val="both"/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城中发改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规划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〔20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lang w:val="en-US" w:eastAsia="zh-CN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t>〕</w:t>
                    </w:r>
                    <w:r>
                      <w:rPr>
                        <w:rFonts w:hint="eastAsia" w:ascii="宋体" w:hAnsi="宋体" w:cs="宋体"/>
                        <w:sz w:val="28"/>
                        <w:lang w:val="en-US" w:eastAsia="zh-CN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color w:val="auto"/>
                        <w:sz w:val="28"/>
                      </w:rPr>
                      <w:t>号</w:t>
                    </w:r>
                  </w:p>
                  <w:p w14:paraId="03F915A8">
                    <w:pPr>
                      <w:spacing w:line="240" w:lineRule="auto"/>
                      <w:jc w:val="both"/>
                      <w:rPr>
                        <w:sz w:val="28"/>
                      </w:rPr>
                    </w:pPr>
                  </w:p>
                </w:txbxContent>
              </v:textbox>
            </v:rect>
          </v:group>
        </w:pict>
      </w:r>
    </w:p>
    <w:p w14:paraId="6DB484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20D78E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关于2025年城中区老旧小区配套基础设施</w:t>
      </w:r>
    </w:p>
    <w:p w14:paraId="48345FD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改造工程（三期）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改造方案的批复</w:t>
      </w:r>
    </w:p>
    <w:p w14:paraId="2289526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jc w:val="center"/>
        <w:textAlignment w:val="baseline"/>
        <w:rPr>
          <w:rFonts w:hint="default" w:ascii="Times New Roman" w:hAnsi="Times New Roman" w:eastAsia="方正小标宋简体" w:cs="方正小标宋简体"/>
          <w:bCs/>
          <w:color w:val="auto"/>
          <w:sz w:val="44"/>
          <w:szCs w:val="44"/>
          <w:highlight w:val="none"/>
        </w:rPr>
      </w:pPr>
    </w:p>
    <w:p w14:paraId="2868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广西柳州市丰鑫投资有限公司：</w:t>
      </w:r>
    </w:p>
    <w:p w14:paraId="4D23E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报来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《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关于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申请审批2025年城中区老旧小区配套基础设施改造工程（三期）改造方案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的请示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及相关材料已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收悉。经研究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，现批复如下：</w:t>
      </w:r>
    </w:p>
    <w:p w14:paraId="5C122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right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/>
        </w:rPr>
        <w:t>一、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为改善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eastAsia="zh-CN"/>
        </w:rPr>
        <w:t>辖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</w:rPr>
        <w:t>区老旧小区居民居住条件和生活环境，满足小区居民日益增长的美好生活需求，提升城市形象和品质，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原则同意该项目改造方案。</w:t>
      </w:r>
    </w:p>
    <w:p w14:paraId="75BF4B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/>
        </w:rPr>
        <w:t>项目代码：2504-450202-04-01-172144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</w:p>
    <w:p w14:paraId="1BA443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三、项目建设地点：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沿江街道桂中社区：（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）温馨家园一期；（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0"/>
          <w:lang w:val="en-US" w:eastAsia="zh-CN" w:bidi="ar"/>
        </w:rPr>
        <w:t>2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）经典时代西区。</w:t>
      </w:r>
    </w:p>
    <w:p w14:paraId="14F67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40" w:firstLineChars="200"/>
        <w:textAlignment w:val="baseline"/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建设规模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及主要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  <w:t>内容：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2025年城中区老旧小区配套基础设施改造工程（三期）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改造小区共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个，改造楼栋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21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栋，改造住户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1173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户，总住宅建筑面积约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  <w:lang w:val="en-US" w:eastAsia="zh-CN"/>
        </w:rPr>
        <w:t>18.83</w:t>
      </w:r>
      <w:r>
        <w:rPr>
          <w:rFonts w:hint="eastAsia" w:ascii="Times New Roman" w:hAnsi="Times New Roman" w:eastAsia="仿宋_GB2312" w:cs="仿宋_GB2312"/>
          <w:color w:val="auto"/>
          <w:spacing w:val="-12"/>
          <w:sz w:val="32"/>
          <w:szCs w:val="32"/>
        </w:rPr>
        <w:t>万平方米。</w:t>
      </w:r>
    </w:p>
    <w:p w14:paraId="6C60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firstLine="616" w:firstLineChars="200"/>
        <w:textAlignment w:val="baseline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主要内容包括：室外道路路面改造，新建硬化场地、透水砖铺地，新建及改造非机动车棚，更换小区破损大门，室外破损消防栓更换，排水设施改造，化粪池排水沟清掏疏通，室外照明改造，增设监控设施，新增出入口道闸，增设非机动车停车（充电）设施，围墙修缮，室外景观绿化设施改造，增设垃圾收集分类设施、微型</w:t>
      </w:r>
    </w:p>
    <w:p w14:paraId="383266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jc w:val="left"/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pacing w:val="-6"/>
          <w:sz w:val="32"/>
          <w:szCs w:val="32"/>
        </w:rPr>
        <w:t>消防站、增设居民休闲健身设施，部分公共用房修缮，小区飞线规整等。</w:t>
      </w:r>
    </w:p>
    <w:p w14:paraId="5C218E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 w:bidi="ar-SA"/>
        </w:rPr>
        <w:t>五、投资规模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及资金来源：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项目总投资估算为672.05万元，其中工程费用为539.58万元，工程建设其他费用</w:t>
      </w:r>
      <w:r>
        <w:rPr>
          <w:rFonts w:hint="eastAsia" w:ascii="Times New Roman" w:hAnsi="Times New Roman" w:eastAsia="仿宋_GB2312" w:cs="仿宋_GB2312"/>
          <w:color w:val="auto"/>
          <w:spacing w:val="-1"/>
          <w:sz w:val="32"/>
          <w:szCs w:val="32"/>
          <w:lang w:val="en-US" w:eastAsia="zh-CN"/>
        </w:rPr>
        <w:t>为94.43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万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元，基本预备费为38.04万元。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资金来源为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0"/>
          <w:lang w:val="en-US" w:eastAsia="zh-CN" w:bidi="ar"/>
        </w:rPr>
        <w:t>申请上级财政资金和城区财政资金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以上费用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结算审核部门的最终结算为准。</w:t>
      </w:r>
    </w:p>
    <w:p w14:paraId="7D43CAD8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ind w:right="0" w:rightChars="0" w:firstLine="640" w:firstLineChars="20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请据此批复开展项目初步设计阶段工作，并进一步落实项目建设资金。工程招投标工作根据《中华人民共和国招标投标法》《必须招标的工程项目规定》（中华人民共和国国家发展和改革委员会令第16号）及相关法规执行。</w:t>
      </w:r>
    </w:p>
    <w:p w14:paraId="1EE83C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AA2A0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after="0" w:line="540" w:lineRule="exact"/>
        <w:ind w:firstLine="640" w:firstLineChars="20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附件：招标事项核准意见表</w:t>
      </w:r>
    </w:p>
    <w:p w14:paraId="63CEC09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5751281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6A1F1BDD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柳州市城中区发展和改革局        </w:t>
      </w:r>
    </w:p>
    <w:p w14:paraId="41488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/>
        <w:textAlignment w:val="baseline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20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25年4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2日</w:t>
      </w:r>
    </w:p>
    <w:p w14:paraId="336BFFA1">
      <w:pPr>
        <w:pStyle w:val="3"/>
        <w:ind w:left="0" w:leftChars="0" w:firstLine="0" w:firstLineChars="0"/>
        <w:jc w:val="both"/>
        <w:rPr>
          <w:rFonts w:hint="eastAsia"/>
          <w:lang w:eastAsia="zh-CN"/>
        </w:rPr>
      </w:pPr>
    </w:p>
    <w:p w14:paraId="78711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1285" w:hanging="1285" w:hangingChars="400"/>
        <w:textAlignment w:val="baseline"/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>政府信息公开选项：</w:t>
      </w:r>
      <w:r>
        <w:rPr>
          <w:rFonts w:hint="eastAsia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>主动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 xml:space="preserve">公开                        </w:t>
      </w:r>
      <w:r>
        <w:rPr>
          <w:rFonts w:hint="eastAsia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highlight w:val="none"/>
          <w:u w:val="single"/>
        </w:rPr>
        <w:t xml:space="preserve"> </w:t>
      </w:r>
    </w:p>
    <w:p w14:paraId="0D3CE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520" w:firstLineChars="200"/>
        <w:textAlignment w:val="baseline"/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抄送：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城中区政府办，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住建局，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eastAsia="zh-CN"/>
        </w:rPr>
        <w:t>城中区财政局，城中区</w:t>
      </w: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highlight w:val="none"/>
          <w:lang w:val="en-US" w:eastAsia="zh-CN"/>
        </w:rPr>
        <w:t>司法局，</w:t>
      </w:r>
    </w:p>
    <w:p w14:paraId="6FCA8D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firstLine="1300" w:firstLineChars="500"/>
        <w:textAlignment w:val="baseline"/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10"/>
          <w:sz w:val="28"/>
          <w:szCs w:val="28"/>
          <w:lang w:val="en-US" w:eastAsia="zh-CN"/>
        </w:rPr>
        <w:t>城中区自然资源局，城中生态环境局。</w:t>
      </w:r>
    </w:p>
    <w:p w14:paraId="327E9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baseline"/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本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存档。                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  <w:lang w:val="en-US" w:eastAsia="zh-CN"/>
        </w:rPr>
        <w:t xml:space="preserve"> </w:t>
      </w:r>
    </w:p>
    <w:p w14:paraId="6B200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textAlignment w:val="baseline"/>
        <w:rPr>
          <w:rFonts w:hint="eastAsia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16"/>
          <w:sz w:val="28"/>
          <w:szCs w:val="28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柳州市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城中区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发展和改革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eastAsia="zh-CN"/>
        </w:rPr>
        <w:t>局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20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25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>日印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  <w:lang w:val="en-US" w:eastAsia="zh-CN"/>
        </w:rPr>
        <w:t xml:space="preserve">发   </w:t>
      </w:r>
      <w:r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  <w:t xml:space="preserve"> </w:t>
      </w:r>
    </w:p>
    <w:p w14:paraId="49CBF0E4"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  <w:sectPr>
          <w:headerReference r:id="rId6" w:type="first"/>
          <w:footerReference r:id="rId8" w:type="first"/>
          <w:headerReference r:id="rId5" w:type="default"/>
          <w:footerReference r:id="rId7" w:type="default"/>
          <w:pgSz w:w="11905" w:h="16837"/>
          <w:pgMar w:top="1417" w:right="1417" w:bottom="1417" w:left="1417" w:header="567" w:footer="340" w:gutter="0"/>
          <w:pgNumType w:fmt="decimal" w:start="1"/>
          <w:cols w:space="720" w:num="1"/>
          <w:titlePg/>
        </w:sectPr>
      </w:pPr>
    </w:p>
    <w:p w14:paraId="08B81AE9">
      <w:pPr>
        <w:rPr>
          <w:rFonts w:hint="eastAsia" w:ascii="黑体" w:hAnsi="黑体" w:eastAsia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auto"/>
          <w:sz w:val="32"/>
          <w:szCs w:val="32"/>
          <w:highlight w:val="none"/>
        </w:rPr>
        <w:t>附件：</w:t>
      </w:r>
    </w:p>
    <w:tbl>
      <w:tblPr>
        <w:tblStyle w:val="11"/>
        <w:tblpPr w:leftFromText="180" w:rightFromText="180" w:vertAnchor="text" w:horzAnchor="page" w:tblpX="987" w:tblpY="42"/>
        <w:tblOverlap w:val="never"/>
        <w:tblW w:w="104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3"/>
        <w:gridCol w:w="857"/>
        <w:gridCol w:w="877"/>
        <w:gridCol w:w="877"/>
        <w:gridCol w:w="877"/>
        <w:gridCol w:w="877"/>
        <w:gridCol w:w="877"/>
        <w:gridCol w:w="1379"/>
        <w:gridCol w:w="1368"/>
        <w:gridCol w:w="240"/>
        <w:gridCol w:w="805"/>
      </w:tblGrid>
      <w:tr w14:paraId="18C886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705" w:hRule="atLeast"/>
        </w:trPr>
        <w:tc>
          <w:tcPr>
            <w:tcW w:w="9622" w:type="dxa"/>
            <w:gridSpan w:val="10"/>
            <w:noWrap w:val="0"/>
            <w:vAlign w:val="center"/>
          </w:tcPr>
          <w:p w14:paraId="1B96EE05">
            <w:pPr>
              <w:widowControl/>
              <w:ind w:firstLine="3080" w:firstLineChars="700"/>
              <w:jc w:val="both"/>
              <w:textAlignment w:val="center"/>
              <w:rPr>
                <w:rFonts w:eastAsia="黑体"/>
                <w:b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kern w:val="0"/>
                <w:sz w:val="44"/>
                <w:szCs w:val="44"/>
                <w:highlight w:val="none"/>
              </w:rPr>
              <w:t>招标事项核准意见表</w:t>
            </w:r>
          </w:p>
        </w:tc>
      </w:tr>
      <w:tr w14:paraId="6F9D58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570" w:hRule="atLeast"/>
        </w:trPr>
        <w:tc>
          <w:tcPr>
            <w:tcW w:w="1393" w:type="dxa"/>
            <w:noWrap w:val="0"/>
            <w:vAlign w:val="center"/>
          </w:tcPr>
          <w:p w14:paraId="340CA881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项目</w:t>
            </w:r>
          </w:p>
          <w:p w14:paraId="2BEE473D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单位：</w:t>
            </w:r>
          </w:p>
        </w:tc>
        <w:tc>
          <w:tcPr>
            <w:tcW w:w="8229" w:type="dxa"/>
            <w:gridSpan w:val="9"/>
            <w:noWrap w:val="0"/>
            <w:vAlign w:val="center"/>
          </w:tcPr>
          <w:p w14:paraId="2789082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  <w:t>广西柳州市丰鑫投资有限公司</w:t>
            </w:r>
          </w:p>
        </w:tc>
      </w:tr>
      <w:tr w14:paraId="56D7C4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805" w:type="dxa"/>
          <w:trHeight w:val="570" w:hRule="atLeast"/>
        </w:trPr>
        <w:tc>
          <w:tcPr>
            <w:tcW w:w="1393" w:type="dxa"/>
            <w:tcBorders>
              <w:bottom w:val="nil"/>
            </w:tcBorders>
            <w:noWrap w:val="0"/>
            <w:vAlign w:val="center"/>
          </w:tcPr>
          <w:p w14:paraId="50BBA6FC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项目</w:t>
            </w:r>
          </w:p>
          <w:p w14:paraId="0E0AB5F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名称：</w:t>
            </w:r>
          </w:p>
        </w:tc>
        <w:tc>
          <w:tcPr>
            <w:tcW w:w="8229" w:type="dxa"/>
            <w:gridSpan w:val="9"/>
            <w:tcBorders>
              <w:bottom w:val="nil"/>
            </w:tcBorders>
            <w:noWrap w:val="0"/>
            <w:vAlign w:val="center"/>
          </w:tcPr>
          <w:p w14:paraId="1D0121E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  <w:lang w:val="en-US" w:eastAsia="zh-CN"/>
              </w:rPr>
              <w:t>2025年城中区老旧小区配套基础设施改造工程（三期）</w:t>
            </w:r>
          </w:p>
        </w:tc>
      </w:tr>
      <w:tr w14:paraId="093015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40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DFA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1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832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招标范围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C73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招标组织</w:t>
            </w:r>
          </w:p>
          <w:p w14:paraId="00FF88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形式</w:t>
            </w:r>
          </w:p>
        </w:tc>
        <w:tc>
          <w:tcPr>
            <w:tcW w:w="1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790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招标方式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EE48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不采用招标方式</w:t>
            </w:r>
          </w:p>
        </w:tc>
        <w:tc>
          <w:tcPr>
            <w:tcW w:w="13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77C7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估算金额</w:t>
            </w:r>
          </w:p>
          <w:p w14:paraId="630CDE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（万元）</w:t>
            </w:r>
          </w:p>
        </w:tc>
      </w:tr>
      <w:tr w14:paraId="2C4E45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40" w:hRule="atLeast"/>
        </w:trPr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46D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AC39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全部</w:t>
            </w:r>
          </w:p>
          <w:p w14:paraId="2D650E7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3B6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部分</w:t>
            </w:r>
          </w:p>
          <w:p w14:paraId="41D23A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E33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自行</w:t>
            </w:r>
          </w:p>
          <w:p w14:paraId="1F2F28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66BA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委托</w:t>
            </w:r>
          </w:p>
          <w:p w14:paraId="553778D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5A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公开</w:t>
            </w:r>
          </w:p>
          <w:p w14:paraId="35C7C5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8D2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邀请</w:t>
            </w:r>
          </w:p>
          <w:p w14:paraId="2FBD81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招标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4E93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C76E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  <w:tr w14:paraId="72BDEB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A3B7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勘察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287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A9EE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6D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9BE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A460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E1C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E20C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9863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ED734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E0D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设计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17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797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3C58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A5B3D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C176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604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5962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1461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28.70</w:t>
            </w:r>
          </w:p>
        </w:tc>
      </w:tr>
      <w:tr w14:paraId="48ECEA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DE90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建安工程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8A01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CCB2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0F67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A7EA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4FD1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CF23E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404A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01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24"/>
                <w:lang w:val="en-US" w:eastAsia="zh-CN" w:bidi="ar"/>
              </w:rPr>
              <w:t>539.58</w:t>
            </w:r>
          </w:p>
        </w:tc>
      </w:tr>
      <w:tr w14:paraId="70FEA5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5C7A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监理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F8E26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7E7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7D915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D8D53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225A9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1F248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4CB6A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C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14.0</w:t>
            </w:r>
            <w:r>
              <w:rPr>
                <w:rFonts w:hint="eastAsia" w:cs="Times New Roman" w:eastAsiaTheme="minorEastAsia"/>
                <w:color w:val="auto"/>
                <w:sz w:val="32"/>
                <w:szCs w:val="32"/>
                <w:lang w:val="en-US" w:eastAsia="zh-CN" w:bidi="ar-SA"/>
              </w:rPr>
              <w:t>6</w:t>
            </w:r>
          </w:p>
        </w:tc>
      </w:tr>
      <w:tr w14:paraId="19408C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5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491D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重要设备</w:t>
            </w:r>
          </w:p>
        </w:tc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3656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737A"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E0FC0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C931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8656C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274CE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C69C4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  <w:t>核准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6A4B7">
            <w:pPr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z w:val="32"/>
                <w:szCs w:val="32"/>
                <w:highlight w:val="none"/>
                <w:lang w:val="en-US" w:eastAsia="zh-CN"/>
              </w:rPr>
              <w:t>0</w:t>
            </w:r>
          </w:p>
        </w:tc>
      </w:tr>
      <w:tr w14:paraId="06A5E9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25" w:hRule="atLeast"/>
        </w:trPr>
        <w:tc>
          <w:tcPr>
            <w:tcW w:w="9382" w:type="dxa"/>
            <w:gridSpan w:val="9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FB924F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审批部门核准意见说明：</w:t>
            </w:r>
          </w:p>
        </w:tc>
      </w:tr>
      <w:tr w14:paraId="0BB2E6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10" w:hRule="atLeast"/>
        </w:trPr>
        <w:tc>
          <w:tcPr>
            <w:tcW w:w="9382" w:type="dxa"/>
            <w:gridSpan w:val="9"/>
            <w:vMerge w:val="restart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48CDB7">
            <w:pPr>
              <w:pStyle w:val="2"/>
              <w:ind w:firstLine="64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根据《中华人民共和国招标投标法》，《中华人民共和国招标投标法实施条例》和《广西壮族自治区实施&lt;中华人民共和国招标投标法&gt;办法》，核准该项工程建设的招标方案。</w:t>
            </w:r>
          </w:p>
        </w:tc>
      </w:tr>
      <w:tr w14:paraId="446771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510" w:hRule="atLeast"/>
        </w:trPr>
        <w:tc>
          <w:tcPr>
            <w:tcW w:w="9382" w:type="dxa"/>
            <w:gridSpan w:val="9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831747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 w14:paraId="4113C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840" w:hRule="atLeast"/>
        </w:trPr>
        <w:tc>
          <w:tcPr>
            <w:tcW w:w="9382" w:type="dxa"/>
            <w:gridSpan w:val="9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E0F911">
            <w:pPr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 w14:paraId="787C1E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420" w:hRule="atLeast"/>
        </w:trPr>
        <w:tc>
          <w:tcPr>
            <w:tcW w:w="1393" w:type="dxa"/>
            <w:tcBorders>
              <w:left w:val="single" w:color="000000" w:sz="4" w:space="0"/>
            </w:tcBorders>
            <w:noWrap w:val="0"/>
            <w:vAlign w:val="center"/>
          </w:tcPr>
          <w:p w14:paraId="0BB7191B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745B4EE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75EF0C2C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224AE447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624" w:type="dxa"/>
            <w:gridSpan w:val="3"/>
            <w:tcBorders>
              <w:right w:val="single" w:color="auto" w:sz="4" w:space="0"/>
            </w:tcBorders>
            <w:noWrap w:val="0"/>
            <w:vAlign w:val="bottom"/>
          </w:tcPr>
          <w:p w14:paraId="66C4CF9B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</w:tr>
      <w:tr w14:paraId="65C055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1393" w:type="dxa"/>
            <w:tcBorders>
              <w:left w:val="single" w:color="000000" w:sz="4" w:space="0"/>
            </w:tcBorders>
            <w:noWrap w:val="0"/>
            <w:vAlign w:val="center"/>
          </w:tcPr>
          <w:p w14:paraId="29B19717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noWrap w:val="0"/>
            <w:vAlign w:val="center"/>
          </w:tcPr>
          <w:p w14:paraId="6E13159B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21377F45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noWrap w:val="0"/>
            <w:vAlign w:val="center"/>
          </w:tcPr>
          <w:p w14:paraId="6869AA26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77" w:type="dxa"/>
            <w:noWrap w:val="0"/>
            <w:vAlign w:val="center"/>
          </w:tcPr>
          <w:p w14:paraId="4EAF7C1B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79" w:type="dxa"/>
            <w:noWrap w:val="0"/>
            <w:vAlign w:val="center"/>
          </w:tcPr>
          <w:p w14:paraId="2C8CB452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368" w:type="dxa"/>
            <w:tcBorders>
              <w:right w:val="single" w:color="auto" w:sz="4" w:space="0"/>
            </w:tcBorders>
            <w:noWrap w:val="0"/>
            <w:vAlign w:val="center"/>
          </w:tcPr>
          <w:p w14:paraId="5D9E70D8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40" w:type="dxa"/>
            <w:tcBorders>
              <w:left w:val="single" w:color="auto" w:sz="4" w:space="0"/>
            </w:tcBorders>
            <w:noWrap w:val="0"/>
            <w:vAlign w:val="center"/>
          </w:tcPr>
          <w:p w14:paraId="51429545"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390192A">
            <w:pPr>
              <w:rPr>
                <w:color w:val="auto"/>
                <w:sz w:val="24"/>
                <w:szCs w:val="24"/>
                <w:highlight w:val="none"/>
              </w:rPr>
            </w:pPr>
          </w:p>
        </w:tc>
      </w:tr>
      <w:tr w14:paraId="5C293E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1045" w:type="dxa"/>
          <w:trHeight w:val="1052" w:hRule="atLeast"/>
        </w:trPr>
        <w:tc>
          <w:tcPr>
            <w:tcW w:w="1393" w:type="dxa"/>
            <w:tcBorders>
              <w:left w:val="single" w:color="000000" w:sz="4" w:space="0"/>
              <w:bottom w:val="single" w:color="auto" w:sz="4" w:space="0"/>
            </w:tcBorders>
            <w:noWrap w:val="0"/>
            <w:vAlign w:val="center"/>
          </w:tcPr>
          <w:p w14:paraId="37C1FE03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857" w:type="dxa"/>
            <w:tcBorders>
              <w:bottom w:val="single" w:color="auto" w:sz="4" w:space="0"/>
            </w:tcBorders>
            <w:noWrap w:val="0"/>
            <w:vAlign w:val="center"/>
          </w:tcPr>
          <w:p w14:paraId="0E34BB14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8414CA3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75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F9AB7EA">
            <w:pP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3624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47F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审批部门盖章</w:t>
            </w:r>
          </w:p>
          <w:p w14:paraId="4D526A73">
            <w:pPr>
              <w:pStyle w:val="2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</w:p>
          <w:p w14:paraId="2CA96B5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32"/>
                <w:szCs w:val="32"/>
                <w:highlight w:val="none"/>
              </w:rPr>
              <w:t>日</w:t>
            </w:r>
          </w:p>
        </w:tc>
      </w:tr>
    </w:tbl>
    <w:p w14:paraId="14063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baseline"/>
        <w:rPr>
          <w:rFonts w:hint="eastAsia" w:ascii="Times New Roman" w:hAnsi="Times New Roman" w:eastAsia="宋体" w:cs="Times New Roman"/>
          <w:color w:val="auto"/>
          <w:sz w:val="10"/>
          <w:szCs w:val="10"/>
          <w:highlight w:val="none"/>
          <w:lang w:val="en-US" w:eastAsia="zh-CN"/>
        </w:rPr>
        <w:sectPr>
          <w:footerReference r:id="rId10" w:type="first"/>
          <w:footerReference r:id="rId9" w:type="default"/>
          <w:pgSz w:w="11905" w:h="16837"/>
          <w:pgMar w:top="1417" w:right="1134" w:bottom="1134" w:left="1134" w:header="567" w:footer="340" w:gutter="0"/>
          <w:pgNumType w:fmt="decimal"/>
          <w:cols w:space="720" w:num="1"/>
          <w:titlePg/>
        </w:sectPr>
      </w:pPr>
    </w:p>
    <w:p w14:paraId="271CB66D">
      <w:pPr>
        <w:pStyle w:val="2"/>
        <w:rPr>
          <w:rFonts w:hint="default"/>
        </w:rPr>
      </w:pPr>
    </w:p>
    <w:sectPr>
      <w:footerReference r:id="rId12" w:type="first"/>
      <w:footerReference r:id="rId11" w:type="default"/>
      <w:pgSz w:w="11905" w:h="16837"/>
      <w:pgMar w:top="1417" w:right="1134" w:bottom="1134" w:left="1134" w:header="567" w:footer="340" w:gutter="0"/>
      <w:pgNumType w:fmt="decimal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B5D7B">
    <w:pPr>
      <w:spacing w:line="240" w:lineRule="atLeast"/>
      <w:ind w:right="360"/>
      <w:jc w:val="center"/>
    </w:pPr>
    <w:r>
      <w:rPr>
        <w:sz w:val="21"/>
      </w:rPr>
      <w:pict>
        <v:shape id="_x0000_s2068" o:spid="_x0000_s2068" o:spt="202" type="#_x0000_t202" style="position:absolute;left:0pt;margin-top:-39.3pt;height:25.95pt;width:54.95pt;mso-position-horizontal:outside;mso-position-horizontal-relative:margin;z-index:25166438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 w14:paraId="6D04ADAD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21"/>
      </w:rPr>
      <w:pict>
        <v:shape id="_x0000_s2056" o:spid="_x0000_s2056" o:spt="202" type="#_x0000_t202" style="position:absolute;left:0pt;margin-left:-8.55pt;margin-top:-24.8pt;height:48.8pt;width:50.75pt;mso-position-horizontal-relative:margin;z-index:251662336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 w14:paraId="10A6CA05">
                <w:pPr>
                  <w:pStyle w:val="7"/>
                  <w:rPr>
                    <w:rFonts w:hint="eastAsia" w:eastAsia="宋体"/>
                    <w:lang w:val="en-US" w:eastAsia="zh-CN"/>
                  </w:rPr>
                </w:pPr>
              </w:p>
            </w:txbxContent>
          </v:textbox>
        </v:shape>
      </w:pict>
    </w: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任意多边形 9" o:spid="_x0000_s2052" style="position:absolute;left:0pt;margin-left:54.65pt;margin-top:783.85pt;height:28.3pt;width:481.85pt;mso-position-horizontal-relative:page;mso-position-vertical-relative:page;z-index:-251656192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65E3F">
    <w:pPr>
      <w:pStyle w:val="7"/>
      <w:tabs>
        <w:tab w:val="right" w:pos="9637"/>
        <w:tab w:val="clear" w:pos="4153"/>
      </w:tabs>
      <w:rPr>
        <w:rFonts w:hint="eastAsia" w:ascii="宋体" w:hAnsi="宋体" w:eastAsia="宋体" w:cs="宋体"/>
        <w:sz w:val="28"/>
        <w:szCs w:val="28"/>
        <w:lang w:val="en-US"/>
      </w:rPr>
    </w:pPr>
    <w:r>
      <w:rPr>
        <w:sz w:val="18"/>
      </w:rPr>
      <w:pict>
        <v:shape id="_x0000_s2069" o:spid="_x0000_s2069" o:spt="202" type="#_x0000_t202" style="position:absolute;left:0pt;margin-top:-39.3pt;height:25.95pt;width:54.95pt;mso-position-horizontal:outside;mso-position-horizontal-relative:margin;z-index:251665408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 w14:paraId="68A94B99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A690BA">
    <w:pPr>
      <w:spacing w:line="240" w:lineRule="atLeast"/>
      <w:ind w:right="360"/>
      <w:jc w:val="center"/>
    </w:pPr>
    <w:r>
      <w:rPr>
        <w:sz w:val="21"/>
      </w:rPr>
      <w:pict>
        <v:shape id="_x0000_s2070" o:spid="_x0000_s2070" o:spt="202" type="#_x0000_t202" style="position:absolute;left:0pt;margin-top:-39.3pt;height:144pt;width:144pt;mso-position-horizontal:outside;mso-position-horizontal-relative:margin;mso-wrap-style:none;z-index:251666432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 style="mso-fit-shape-to-text:t;">
            <w:txbxContent>
              <w:p w14:paraId="1757343E">
                <w:pPr>
                  <w:pStyle w:val="7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_x0000_s2054" o:spid="_x0000_s2054" style="position:absolute;left:0pt;margin-left:56.65pt;margin-top:796.5pt;height:28.3pt;width:481.85pt;mso-position-horizontal-relative:page;mso-position-vertical-relative:page;z-index:-251655168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A6D71">
    <w:pPr>
      <w:pStyle w:val="7"/>
    </w:pPr>
    <w:r>
      <w:rPr>
        <w:sz w:val="18"/>
      </w:rPr>
      <w:pict>
        <v:shape id="_x0000_s2071" o:spid="_x0000_s2071" o:spt="202" type="#_x0000_t202" style="position:absolute;left:0pt;margin-left:424.2pt;margin-top:-25.9pt;height:22.6pt;width:59.65pt;mso-position-horizontal-relative:margin;z-index:251667456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 w14:paraId="63CA5829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5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  <w:r>
      <w:rPr>
        <w:sz w:val="18"/>
      </w:rPr>
      <w:pict>
        <v:shape id="_x0000_s2063" o:spid="_x0000_s2063" o:spt="202" type="#_x0000_t202" style="position:absolute;left:0pt;margin-left:449.6pt;margin-top:-28.15pt;height:15.4pt;width:50.2pt;mso-position-horizontal-relative:margin;z-index:251663360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 w14:paraId="5ED28D26">
                <w:pPr>
                  <w:pStyle w:val="7"/>
                </w:pP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B196E">
    <w:pPr>
      <w:spacing w:line="240" w:lineRule="atLeast"/>
      <w:ind w:right="360"/>
      <w:jc w:val="center"/>
    </w:pP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_x0000_s2073" o:spid="_x0000_s2073" style="position:absolute;left:0pt;margin-left:56.65pt;margin-top:796.5pt;height:28.3pt;width:481.85pt;mso-position-horizontal-relative:page;mso-position-vertical-relative:page;z-index:-251648000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EFC98">
    <w:pPr>
      <w:pStyle w:val="7"/>
    </w:pPr>
    <w:r>
      <w:rPr>
        <w:sz w:val="18"/>
      </w:rPr>
      <w:pict>
        <v:shape id="_x0000_s2075" o:spid="_x0000_s2075" o:spt="202" type="#_x0000_t202" style="position:absolute;left:0pt;margin-left:449.6pt;margin-top:-28.15pt;height:15.4pt;width:50.2pt;mso-position-horizontal-relative:margin;z-index:251669504;mso-width-relative:page;mso-height-relative:page;" filled="f" stroked="f" coordsize="21600,21600">
          <v:path/>
          <v:fill on="f" focussize="0,0"/>
          <v:stroke on="f" weight="1.25pt"/>
          <v:imagedata o:title=""/>
          <o:lock v:ext="edit" aspectratio="f"/>
          <v:textbox inset="0mm,0mm,0mm,0mm">
            <w:txbxContent>
              <w:p w14:paraId="40278187">
                <w:pPr>
                  <w:pStyle w:val="7"/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A49903">
    <w:pPr>
      <w:spacing w:line="240" w:lineRule="atLeast"/>
    </w:pPr>
    <w:r>
      <w:rPr>
        <w:rFonts w:ascii="Times New Roman" w:hAnsi="Times New Roman" w:eastAsia="宋体" w:cs="Times New Roman"/>
        <w:sz w:val="21"/>
        <w:lang w:val="en-US" w:eastAsia="zh-CN" w:bidi="ar-SA"/>
      </w:rPr>
      <w:pict>
        <v:shape id="任意多边形 4" o:spid="_x0000_s2050" style="position:absolute;left:0pt;margin-left:56.65pt;margin-top:28.3pt;height:28.3pt;width:481.85pt;mso-position-horizontal-relative:page;mso-position-vertical-relative:page;z-index:-251657216;mso-width-relative:page;mso-height-relative:page;" fillcolor="#FFFFFF" filled="f" o:preferrelative="t" stroked="f" coordsize="20000,20000" o:allowincell="f" path="m0,0l0,20000,20000,20000,20000,0,0,0e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78094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517F99"/>
    <w:rsid w:val="012D1E96"/>
    <w:rsid w:val="0345161E"/>
    <w:rsid w:val="036500F8"/>
    <w:rsid w:val="03C561E4"/>
    <w:rsid w:val="051E1FF4"/>
    <w:rsid w:val="07B714CA"/>
    <w:rsid w:val="07DC6674"/>
    <w:rsid w:val="08362F4D"/>
    <w:rsid w:val="0A910858"/>
    <w:rsid w:val="0A9B1F4D"/>
    <w:rsid w:val="0B27504B"/>
    <w:rsid w:val="0BEF468E"/>
    <w:rsid w:val="10185E91"/>
    <w:rsid w:val="13D515CD"/>
    <w:rsid w:val="155C643E"/>
    <w:rsid w:val="1560212A"/>
    <w:rsid w:val="156F0D07"/>
    <w:rsid w:val="17746684"/>
    <w:rsid w:val="18CB4268"/>
    <w:rsid w:val="1C233926"/>
    <w:rsid w:val="1C97074E"/>
    <w:rsid w:val="1FC43A2D"/>
    <w:rsid w:val="20223F7A"/>
    <w:rsid w:val="25A82B55"/>
    <w:rsid w:val="269D47D5"/>
    <w:rsid w:val="27482766"/>
    <w:rsid w:val="28057687"/>
    <w:rsid w:val="28236631"/>
    <w:rsid w:val="284E569A"/>
    <w:rsid w:val="286828E6"/>
    <w:rsid w:val="291F0EB9"/>
    <w:rsid w:val="2A1B5F4E"/>
    <w:rsid w:val="2B0D7846"/>
    <w:rsid w:val="2C50167C"/>
    <w:rsid w:val="2DC91EF2"/>
    <w:rsid w:val="2E7168D5"/>
    <w:rsid w:val="31AC6D17"/>
    <w:rsid w:val="31B23A98"/>
    <w:rsid w:val="3217600D"/>
    <w:rsid w:val="327174A9"/>
    <w:rsid w:val="33EC3333"/>
    <w:rsid w:val="353869B8"/>
    <w:rsid w:val="36225D94"/>
    <w:rsid w:val="37B1036E"/>
    <w:rsid w:val="37D800AA"/>
    <w:rsid w:val="380C1690"/>
    <w:rsid w:val="3A0950A7"/>
    <w:rsid w:val="3A8673A2"/>
    <w:rsid w:val="3AAD2C8A"/>
    <w:rsid w:val="3C13079F"/>
    <w:rsid w:val="3C190114"/>
    <w:rsid w:val="3C385DCE"/>
    <w:rsid w:val="3CBE503F"/>
    <w:rsid w:val="3F721126"/>
    <w:rsid w:val="3FF73350"/>
    <w:rsid w:val="40101F5B"/>
    <w:rsid w:val="40AB488F"/>
    <w:rsid w:val="43A44BAD"/>
    <w:rsid w:val="47426E34"/>
    <w:rsid w:val="47446A78"/>
    <w:rsid w:val="477403A6"/>
    <w:rsid w:val="48ED6699"/>
    <w:rsid w:val="49721A29"/>
    <w:rsid w:val="4AC32269"/>
    <w:rsid w:val="4B2560D5"/>
    <w:rsid w:val="4B520BBC"/>
    <w:rsid w:val="4E63538B"/>
    <w:rsid w:val="4EC216CF"/>
    <w:rsid w:val="4F223BBB"/>
    <w:rsid w:val="4FE85CE7"/>
    <w:rsid w:val="501A7887"/>
    <w:rsid w:val="508B6C32"/>
    <w:rsid w:val="526E25FD"/>
    <w:rsid w:val="52FB11CB"/>
    <w:rsid w:val="532136E9"/>
    <w:rsid w:val="56D35A71"/>
    <w:rsid w:val="56E2037C"/>
    <w:rsid w:val="5C09435E"/>
    <w:rsid w:val="5CF14DE0"/>
    <w:rsid w:val="5DE612A5"/>
    <w:rsid w:val="5F2C2894"/>
    <w:rsid w:val="5F631169"/>
    <w:rsid w:val="60B2311C"/>
    <w:rsid w:val="60EE10ED"/>
    <w:rsid w:val="62EC3E31"/>
    <w:rsid w:val="63B941AB"/>
    <w:rsid w:val="63F75AD9"/>
    <w:rsid w:val="64002AA2"/>
    <w:rsid w:val="64311286"/>
    <w:rsid w:val="65F94D64"/>
    <w:rsid w:val="66756A5B"/>
    <w:rsid w:val="67517F99"/>
    <w:rsid w:val="67E50E1B"/>
    <w:rsid w:val="690E5ED3"/>
    <w:rsid w:val="69B610FC"/>
    <w:rsid w:val="6A27404E"/>
    <w:rsid w:val="6B297E52"/>
    <w:rsid w:val="6DE024AC"/>
    <w:rsid w:val="6F5F4F9E"/>
    <w:rsid w:val="6FFA2839"/>
    <w:rsid w:val="70FA3967"/>
    <w:rsid w:val="75D93CE6"/>
    <w:rsid w:val="764A63CC"/>
    <w:rsid w:val="773748FC"/>
    <w:rsid w:val="7C5606AD"/>
    <w:rsid w:val="7D6B1EB7"/>
    <w:rsid w:val="7E241551"/>
    <w:rsid w:val="7F0A4213"/>
    <w:rsid w:val="7FBF0F7D"/>
    <w:rsid w:val="7FCE6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简体"/>
      <w:b/>
      <w:kern w:val="44"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line="240" w:lineRule="auto"/>
    </w:pPr>
    <w:rPr>
      <w:rFonts w:ascii="Times New Roman" w:hAnsi="Times New Roman" w:eastAsia="宋体"/>
      <w:kern w:val="0"/>
      <w:sz w:val="20"/>
      <w:szCs w:val="24"/>
    </w:rPr>
  </w:style>
  <w:style w:type="paragraph" w:customStyle="1" w:styleId="3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i/>
      <w:iCs/>
      <w:kern w:val="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Body Text First Indent"/>
    <w:basedOn w:val="2"/>
    <w:next w:val="1"/>
    <w:unhideWhenUsed/>
    <w:qFormat/>
    <w:uiPriority w:val="99"/>
    <w:pPr>
      <w:spacing w:line="600" w:lineRule="exact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10">
    <w:name w:val="Body Text First Indent 2"/>
    <w:basedOn w:val="5"/>
    <w:unhideWhenUsed/>
    <w:qFormat/>
    <w:uiPriority w:val="99"/>
    <w:pPr>
      <w:tabs>
        <w:tab w:val="left" w:pos="4789"/>
      </w:tabs>
      <w:spacing w:line="360" w:lineRule="auto"/>
      <w:ind w:left="0" w:leftChars="0" w:firstLine="1040" w:firstLineChars="200"/>
    </w:pPr>
    <w:rPr>
      <w:rFonts w:ascii="Times New Roman" w:hAnsi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 行距: 1.5 倍行距 首行缩进:  2 字符"/>
    <w:basedOn w:val="1"/>
    <w:qFormat/>
    <w:uiPriority w:val="0"/>
    <w:pPr>
      <w:adjustRightInd w:val="0"/>
      <w:snapToGrid w:val="0"/>
      <w:spacing w:line="46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68" textRotate="1"/>
    <customShpInfo spid="_x0000_s2056" textRotate="1"/>
    <customShpInfo spid="_x0000_s2052"/>
    <customShpInfo spid="_x0000_s2069" textRotate="1"/>
    <customShpInfo spid="_x0000_s2070" textRotate="1"/>
    <customShpInfo spid="_x0000_s2054"/>
    <customShpInfo spid="_x0000_s2071" textRotate="1"/>
    <customShpInfo spid="_x0000_s2063" textRotate="1"/>
    <customShpInfo spid="_x0000_s2073"/>
    <customShpInfo spid="_x0000_s2075" textRotate="1"/>
    <customShpInfo spid="_x0000_s1031"/>
    <customShpInfo spid="_x0000_s1032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1086</Words>
  <Characters>1173</Characters>
  <Lines>0</Lines>
  <Paragraphs>0</Paragraphs>
  <TotalTime>7</TotalTime>
  <ScaleCrop>false</ScaleCrop>
  <LinksUpToDate>false</LinksUpToDate>
  <CharactersWithSpaces>1362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2021-02-04T01:33:00Z</dcterms:created>
  <dc:creator>窗里窗外</dc:creator>
  <cp:lastModifiedBy>佟兒</cp:lastModifiedBy>
  <cp:lastPrinted>2023-08-04T01:34:00Z</cp:lastPrinted>
  <dcterms:modified xsi:type="dcterms:W3CDTF">2025-04-05T16:20:52Z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04368C9FEDD84F52AA187703D6BEBC5C</vt:lpwstr>
  </property>
  <property fmtid="{D5CDD505-2E9C-101B-9397-08002B2CF9AE}" pid="4" name="KSOTemplateDocerSaveRecord">
    <vt:lpwstr>eyJoZGlkIjoiMTExZDQ4NDcxOTlmNDkwMzJkYmQ5Y2E0Yjk5YWFlMDUiLCJ1c2VySWQiOiI2ODgwMTYwNjEifQ==</vt:lpwstr>
  </property>
</Properties>
</file>