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eastAsia="宋体" w:cs="Times New Roman"/>
          <w:color w:val="auto"/>
          <w:sz w:val="20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w:pict>
          <v:group id="组合 3" o:spid="_x0000_s1030" o:spt="203" style="position:absolute;left:0pt;margin-left:218.7pt;margin-top:212.7pt;height:33.05pt;width:189pt;mso-position-horizontal-relative:page;mso-position-vertical-relative:page;z-index:251659264;mso-width-relative:page;mso-height-relative:page;" coordsize="3780,476">
            <o:lock v:ext="edit" position="f" selection="f" grouping="f" rotation="f" cropping="f" text="f" aspectratio="f"/>
            <v:shape id="任意多边形 1" o:spid="_x0000_s1031" style="position:absolute;left:0;top:0;height:476;width:3780;" fillcolor="#FFFFFF" filled="f" o:preferrelative="t" stroked="f" coordsize="20000,20000" path="m0,0l0,20000,20000,20000,20000,0,0,0e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</v:shape>
            <v:rect id="矩形 2" o:spid="_x0000_s1032" o:spt="1" style="position:absolute;left:0;top:0;height:476;width:3780;" fillcolor="#FFFFFF" filled="f" o:preferrelative="t" stroked="f" coordsize="21600,21600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>
                    <w:pPr>
                      <w:spacing w:line="240" w:lineRule="auto"/>
                      <w:jc w:val="both"/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城中发改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规划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〔20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〕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t>号</w:t>
                    </w:r>
                  </w:p>
                  <w:p>
                    <w:pPr>
                      <w:spacing w:line="240" w:lineRule="auto"/>
                      <w:jc w:val="both"/>
                      <w:rPr>
                        <w:sz w:val="28"/>
                      </w:rPr>
                    </w:pPr>
                  </w:p>
                </w:txbxContent>
              </v:textbox>
            </v:rect>
          </v:group>
        </w:pic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关于2025年城中区老旧小区配套基础设施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改造工程（四期）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jc w:val="center"/>
        <w:textAlignment w:val="baseline"/>
        <w:rPr>
          <w:rFonts w:hint="default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申请审批2025年城中区老旧小区配套基础设施改造工程（四期）改造方案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2504-450202-04-01-937195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三、项目建设地点：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）金桂苑二区；（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）柳东乡政府宿舍；（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）商贸技校宿舍。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202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5年城中区老旧小区配套基础设施改造工程（四期）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改造小区共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个，改造楼栋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栋，改造住户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536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户，总住宅建筑面积约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3.39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万平方米。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40" w:lineRule="exact"/>
        <w:ind w:firstLine="616" w:firstLineChars="200"/>
        <w:jc w:val="left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主要内容包括：小区</w:t>
      </w:r>
      <w:r>
        <w:rPr>
          <w:rFonts w:hint="eastAsia" w:eastAsia="仿宋_GB2312" w:cs="仿宋_GB2312"/>
          <w:color w:val="auto"/>
          <w:spacing w:val="-6"/>
          <w:sz w:val="32"/>
          <w:szCs w:val="32"/>
          <w:lang w:val="en-US" w:eastAsia="zh-CN"/>
        </w:rPr>
        <w:t>内</w:t>
      </w: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屋面防水保温改造9321平方米、场地硬化及铺装14275平方米、新建及改造非机动车棚350平方米、给排水工程改造733米、化粪池清掏及修复34座，太阳能路灯58盏，增设监控设施2套，新增出入口道闸 3套，增设非机动车停车(充电)设施8套，翻新通透式围墙450米，室外景观绿化设施改造350平方米、 增设垃圾收集分类设施11座、微型消防站9座、增设居民休闲健身设施1套、石桌椅1套，小区飞线规整3项等。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项目总投资估算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为869.24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万元，其中工程费用为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700.01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120.03万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元，基本预备费为4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9.20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申请上级财政资金和城区财政资金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结算审核部门的最终结算为准。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柳州市城中区发展和改革局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2日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snapToGrid/>
        <w:spacing w:before="0" w:after="0" w:line="540" w:lineRule="exact"/>
        <w:ind w:left="0" w:leftChars="0" w:firstLine="0" w:firstLineChars="0"/>
        <w:jc w:val="both"/>
        <w:rPr>
          <w:rFonts w:hint="eastAsia" w:ascii="Times New Roman" w:hAnsi="Times New Roman" w:eastAsia="仿宋_GB2312"/>
          <w:sz w:val="32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1285" w:hanging="1285" w:hangingChars="400"/>
        <w:textAlignment w:val="baseline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>政府信息公开选项：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>主动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公开                        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20" w:firstLineChars="200"/>
        <w:textAlignment w:val="baseline"/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1300" w:firstLineChars="500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本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417" w:right="1417" w:bottom="1417" w:left="1417" w:header="567" w:footer="340" w:gutter="0"/>
          <w:pgNumType w:fmt="decimal" w:start="1"/>
          <w:cols w:space="720" w:num="1"/>
          <w:titlePg/>
        </w:sectPr>
      </w:pPr>
    </w:p>
    <w:p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11"/>
        <w:tblpPr w:leftFromText="180" w:rightFromText="180" w:vertAnchor="text" w:horzAnchor="page" w:tblpX="987" w:tblpY="42"/>
        <w:tblOverlap w:val="never"/>
        <w:tblW w:w="104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857"/>
        <w:gridCol w:w="877"/>
        <w:gridCol w:w="877"/>
        <w:gridCol w:w="877"/>
        <w:gridCol w:w="877"/>
        <w:gridCol w:w="877"/>
        <w:gridCol w:w="1379"/>
        <w:gridCol w:w="1368"/>
        <w:gridCol w:w="240"/>
        <w:gridCol w:w="8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705" w:hRule="atLeast"/>
        </w:trPr>
        <w:tc>
          <w:tcPr>
            <w:tcW w:w="9622" w:type="dxa"/>
            <w:gridSpan w:val="10"/>
            <w:noWrap w:val="0"/>
            <w:vAlign w:val="center"/>
          </w:tcPr>
          <w:p>
            <w:pPr>
              <w:widowControl/>
              <w:ind w:firstLine="3080" w:firstLineChars="700"/>
              <w:jc w:val="both"/>
              <w:textAlignment w:val="center"/>
              <w:rPr>
                <w:rFonts w:eastAsia="黑体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highlight w:val="none"/>
              </w:rPr>
              <w:t>招标事项核准意见表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8229" w:type="dxa"/>
            <w:gridSpan w:val="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广西柳州市丰鑫投资有限公司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名称：</w:t>
            </w:r>
          </w:p>
        </w:tc>
        <w:tc>
          <w:tcPr>
            <w:tcW w:w="8229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年城中区老旧小区配套基础设施改造工程（四期）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招标范围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招标组织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形式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招标方式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不采用招标方式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估算金额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（万元）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全部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部分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自行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委托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公开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邀请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勘察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设计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36.56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建安工程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700.01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监理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17.55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重要设备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730" w:hRule="atLeast"/>
        </w:trPr>
        <w:tc>
          <w:tcPr>
            <w:tcW w:w="9382" w:type="dxa"/>
            <w:gridSpan w:val="9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审批部门核准意见说明：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64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根据《中华人民共和国招标投标法》，《中华人民共和国招标投标法实施条例》和《广西壮族自治区实施&lt;中华人民共和国招标投标法&gt;办法》，核准该项工程建设的招标方案。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95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420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1052" w:hRule="atLeast"/>
        </w:trPr>
        <w:tc>
          <w:tcPr>
            <w:tcW w:w="1393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审批部门盖章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Times New Roman" w:hAnsi="Times New Roman" w:eastAsia="宋体" w:cs="Times New Roman"/>
          <w:color w:val="auto"/>
          <w:sz w:val="10"/>
          <w:szCs w:val="10"/>
          <w:highlight w:val="none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>
      <w:pPr>
        <w:pStyle w:val="2"/>
        <w:rPr>
          <w:rFonts w:hint="default"/>
        </w:rPr>
      </w:pPr>
    </w:p>
    <w:sectPr>
      <w:footerReference r:id="rId12" w:type="first"/>
      <w:footerReference r:id="rId11" w:type="default"/>
      <w:pgSz w:w="11905" w:h="16837"/>
      <w:pgMar w:top="1417" w:right="1134" w:bottom="1134" w:left="1134" w:header="567" w:footer="340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sz w:val="21"/>
      </w:rPr>
      <w:pict>
        <v:shape id="_x0000_s2068" o:spid="_x0000_s2068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21"/>
      </w:rPr>
      <w:pict>
        <v:shape id="_x0000_s2056" o:spid="_x0000_s2056" o:spt="202" type="#_x0000_t202" style="position:absolute;left:0pt;margin-left:-8.55pt;margin-top:-24.8pt;height:48.8pt;width:50.75pt;mso-position-horizontal-relative:margin;z-index:25166233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eastAsia="宋体"/>
                    <w:lang w:val="en-US" w:eastAsia="zh-CN"/>
                  </w:rPr>
                </w:pP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9" o:spid="_x0000_s2052" style="position:absolute;left:0pt;margin-left:54.65pt;margin-top:783.85pt;height:28.3pt;width:481.85pt;mso-position-horizontal-relative:page;mso-position-vertical-relative:page;z-index:-251656192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w:pict>
        <v:shape id="_x0000_s2069" o:spid="_x0000_s2069" o:spt="202" type="#_x0000_t202" style="position:absolute;left:0pt;margin-top:-39.3pt;height:25.95pt;width:54.95pt;mso-position-horizontal:outside;mso-position-horizontal-relative:margin;z-index:25166540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sz w:val="21"/>
      </w:rPr>
      <w:pict>
        <v:shape id="_x0000_s2070" o:spid="_x0000_s2070" o:spt="202" type="#_x0000_t202" style="position:absolute;left:0pt;margin-top:-39.3pt;height:144pt;width:144pt;mso-position-horizontal:outside;mso-position-horizontal-relative:margin;mso-wrap-style:none;z-index:251666432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54" o:spid="_x0000_s2054" style="position:absolute;left:0pt;margin-left:56.65pt;margin-top:796.5pt;height:28.3pt;width:481.85pt;mso-position-horizontal-relative:page;mso-position-vertical-relative:page;z-index:-251655168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71" o:spid="_x0000_s2071" o:spt="202" type="#_x0000_t202" style="position:absolute;left:0pt;margin-left:424.2pt;margin-top:-25.9pt;height:22.6pt;width:59.65pt;mso-position-horizontal-relative:margin;z-index:25166745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5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2063" o:spid="_x0000_s2063" o:spt="202" type="#_x0000_t202" style="position:absolute;left:0pt;margin-left:449.6pt;margin-top:-28.15pt;height:15.4pt;width:50.2pt;mso-position-horizontal-relative:margin;z-index:25166336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</w:pP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73" o:spid="_x0000_s2073" style="position:absolute;left:0pt;margin-left:56.65pt;margin-top:796.5pt;height:28.3pt;width:481.85pt;mso-position-horizontal-relative:page;mso-position-vertical-relative:page;z-index:-251648000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75" o:spid="_x0000_s2075" o:spt="202" type="#_x0000_t202" style="position:absolute;left:0pt;margin-left:449.6pt;margin-top:-28.15pt;height:15.4pt;width:50.2pt;mso-position-horizontal-relative:margin;z-index:25166950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>
                <w:pPr>
                  <w:pStyle w:val="7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4" o:spid="_x0000_s2050" style="position:absolute;left:0pt;margin-left:56.65pt;margin-top:28.3pt;height:28.3pt;width:481.85pt;mso-position-horizontal-relative:page;mso-position-vertical-relative:page;z-index:-251657216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517F99"/>
    <w:rsid w:val="012D1E96"/>
    <w:rsid w:val="0345161E"/>
    <w:rsid w:val="036500F8"/>
    <w:rsid w:val="03C561E4"/>
    <w:rsid w:val="051E1FF4"/>
    <w:rsid w:val="07B714CA"/>
    <w:rsid w:val="07DC6674"/>
    <w:rsid w:val="08362F4D"/>
    <w:rsid w:val="084D3D31"/>
    <w:rsid w:val="0A910858"/>
    <w:rsid w:val="0A9B1F4D"/>
    <w:rsid w:val="0B27504B"/>
    <w:rsid w:val="0BEF468E"/>
    <w:rsid w:val="10185E91"/>
    <w:rsid w:val="13D515CD"/>
    <w:rsid w:val="155C643E"/>
    <w:rsid w:val="1560212A"/>
    <w:rsid w:val="156F0D07"/>
    <w:rsid w:val="17746684"/>
    <w:rsid w:val="18772076"/>
    <w:rsid w:val="18CB4268"/>
    <w:rsid w:val="1C233926"/>
    <w:rsid w:val="1C97074E"/>
    <w:rsid w:val="1FC43A2D"/>
    <w:rsid w:val="20223F7A"/>
    <w:rsid w:val="25A82B55"/>
    <w:rsid w:val="269D47D5"/>
    <w:rsid w:val="27482766"/>
    <w:rsid w:val="28057687"/>
    <w:rsid w:val="28236631"/>
    <w:rsid w:val="284E569A"/>
    <w:rsid w:val="286828E6"/>
    <w:rsid w:val="291F0EB9"/>
    <w:rsid w:val="2A1B5F4E"/>
    <w:rsid w:val="2B0D7846"/>
    <w:rsid w:val="2C50167C"/>
    <w:rsid w:val="2DC91EF2"/>
    <w:rsid w:val="2E7168D5"/>
    <w:rsid w:val="31AC6D17"/>
    <w:rsid w:val="31B23A98"/>
    <w:rsid w:val="3217600D"/>
    <w:rsid w:val="327174A9"/>
    <w:rsid w:val="33EC3333"/>
    <w:rsid w:val="353869B8"/>
    <w:rsid w:val="36225D94"/>
    <w:rsid w:val="37B1036E"/>
    <w:rsid w:val="37D800AA"/>
    <w:rsid w:val="380C1690"/>
    <w:rsid w:val="3A0950A7"/>
    <w:rsid w:val="3A8673A2"/>
    <w:rsid w:val="3AAD2C8A"/>
    <w:rsid w:val="3C13079F"/>
    <w:rsid w:val="3C190114"/>
    <w:rsid w:val="3C385DCE"/>
    <w:rsid w:val="3CBE503F"/>
    <w:rsid w:val="3F4165F7"/>
    <w:rsid w:val="3F721126"/>
    <w:rsid w:val="3FF73350"/>
    <w:rsid w:val="40101F5B"/>
    <w:rsid w:val="40AB488F"/>
    <w:rsid w:val="43A44BAD"/>
    <w:rsid w:val="47426E34"/>
    <w:rsid w:val="47446A78"/>
    <w:rsid w:val="477403A6"/>
    <w:rsid w:val="48ED6699"/>
    <w:rsid w:val="49721A29"/>
    <w:rsid w:val="4AC32269"/>
    <w:rsid w:val="4B2560D5"/>
    <w:rsid w:val="4B520BBC"/>
    <w:rsid w:val="4E63538B"/>
    <w:rsid w:val="4EC216CF"/>
    <w:rsid w:val="4F223BBB"/>
    <w:rsid w:val="4FE85CE7"/>
    <w:rsid w:val="501A7887"/>
    <w:rsid w:val="508B6C32"/>
    <w:rsid w:val="526E25FD"/>
    <w:rsid w:val="52FB11CB"/>
    <w:rsid w:val="532136E9"/>
    <w:rsid w:val="56D35A71"/>
    <w:rsid w:val="56E2037C"/>
    <w:rsid w:val="5C09435E"/>
    <w:rsid w:val="5CF14DE0"/>
    <w:rsid w:val="5DE612A5"/>
    <w:rsid w:val="5F2C2894"/>
    <w:rsid w:val="5F631169"/>
    <w:rsid w:val="60B2311C"/>
    <w:rsid w:val="60EE10ED"/>
    <w:rsid w:val="62EC3E31"/>
    <w:rsid w:val="63B941AB"/>
    <w:rsid w:val="63F75AD9"/>
    <w:rsid w:val="64002AA2"/>
    <w:rsid w:val="64311286"/>
    <w:rsid w:val="65F94D64"/>
    <w:rsid w:val="66756A5B"/>
    <w:rsid w:val="67517F99"/>
    <w:rsid w:val="67E50E1B"/>
    <w:rsid w:val="690E5ED3"/>
    <w:rsid w:val="69B610FC"/>
    <w:rsid w:val="6A27404E"/>
    <w:rsid w:val="6B297E52"/>
    <w:rsid w:val="6CDF0407"/>
    <w:rsid w:val="6DE024AC"/>
    <w:rsid w:val="6F5F4F9E"/>
    <w:rsid w:val="6FFA2839"/>
    <w:rsid w:val="70FA3967"/>
    <w:rsid w:val="75D93CE6"/>
    <w:rsid w:val="764A63CC"/>
    <w:rsid w:val="773748FC"/>
    <w:rsid w:val="7C5606AD"/>
    <w:rsid w:val="7D6B1EB7"/>
    <w:rsid w:val="7E241551"/>
    <w:rsid w:val="7F0A4213"/>
    <w:rsid w:val="7FBF0F7D"/>
    <w:rsid w:val="7FCE6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customStyle="1" w:styleId="3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"/>
    <w:basedOn w:val="2"/>
    <w:next w:val="1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10">
    <w:name w:val="Body Text First Indent 2"/>
    <w:basedOn w:val="5"/>
    <w:unhideWhenUsed/>
    <w:qFormat/>
    <w:uiPriority w:val="99"/>
    <w:pPr>
      <w:tabs>
        <w:tab w:val="left" w:pos="4789"/>
      </w:tabs>
      <w:spacing w:line="360" w:lineRule="auto"/>
      <w:ind w:left="0" w:leftChars="0" w:firstLine="1040" w:firstLineChars="200"/>
    </w:pPr>
    <w:rPr>
      <w:rFonts w:ascii="Times New Roman" w:hAns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  <w:style w:type="character" w:customStyle="1" w:styleId="17">
    <w:name w:val="fontstyle01"/>
    <w:basedOn w:val="13"/>
    <w:uiPriority w:val="0"/>
    <w:rPr>
      <w:rFonts w:ascii="宋体" w:hAnsi="宋体" w:eastAsia="宋体" w:cs="宋体"/>
      <w:color w:val="000000"/>
      <w:sz w:val="30"/>
      <w:szCs w:val="30"/>
    </w:rPr>
  </w:style>
  <w:style w:type="character" w:customStyle="1" w:styleId="18">
    <w:name w:val="fontstyle21"/>
    <w:basedOn w:val="13"/>
    <w:uiPriority w:val="0"/>
    <w:rPr>
      <w:rFonts w:ascii="TimesNewRomanPSMT" w:hAnsi="TimesNewRomanPSMT" w:eastAsia="TimesNewRomanPSMT" w:cs="TimesNewRomanPSMT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68" textRotate="1"/>
    <customShpInfo spid="_x0000_s2056" textRotate="1"/>
    <customShpInfo spid="_x0000_s2052"/>
    <customShpInfo spid="_x0000_s2069" textRotate="1"/>
    <customShpInfo spid="_x0000_s2070" textRotate="1"/>
    <customShpInfo spid="_x0000_s2054"/>
    <customShpInfo spid="_x0000_s2071" textRotate="1"/>
    <customShpInfo spid="_x0000_s2063" textRotate="1"/>
    <customShpInfo spid="_x0000_s2073"/>
    <customShpInfo spid="_x0000_s2075" textRotate="1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703</Words>
  <Characters>765</Characters>
  <Lines>0</Lines>
  <Paragraphs>0</Paragraphs>
  <TotalTime>0</TotalTime>
  <ScaleCrop>false</ScaleCrop>
  <LinksUpToDate>false</LinksUpToDate>
  <CharactersWithSpaces>859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2021-02-04T01:33:00Z</dcterms:created>
  <dc:creator>窗里窗外</dc:creator>
  <cp:lastModifiedBy>佟兒</cp:lastModifiedBy>
  <cp:lastPrinted>2023-08-04T01:34:00Z</cp:lastPrinted>
  <dcterms:modified xsi:type="dcterms:W3CDTF">2025-04-13T06:52:57Z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04368C9FEDD84F52AA187703D6BEBC5C</vt:lpwstr>
  </property>
  <property fmtid="{D5CDD505-2E9C-101B-9397-08002B2CF9AE}" pid="4" name="KSOTemplateDocerSaveRecord">
    <vt:lpwstr>eyJoZGlkIjoiOWIwMDU5OTIyNGEwZTU1YzgzNDU0NmQwNzIyNjc0ZTkiLCJ1c2VySWQiOiI2ODgwMTYwNjEifQ==</vt:lpwstr>
  </property>
</Properties>
</file>