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20"/>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cs="宋体"/>
                        <w:sz w:val="28"/>
                        <w:lang w:val="en-US" w:eastAsia="zh-CN"/>
                      </w:rPr>
                      <w:t>基础</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3</w:t>
                    </w:r>
                    <w:r>
                      <w:rPr>
                        <w:rFonts w:hint="eastAsia" w:ascii="宋体" w:hAnsi="宋体" w:eastAsia="宋体" w:cs="宋体"/>
                        <w:color w:val="auto"/>
                        <w:sz w:val="28"/>
                      </w:rPr>
                      <w:t>号</w:t>
                    </w:r>
                  </w:p>
                  <w:p>
                    <w:pPr>
                      <w:spacing w:line="240" w:lineRule="auto"/>
                      <w:jc w:val="both"/>
                      <w:rPr>
                        <w:sz w:val="28"/>
                      </w:rPr>
                    </w:pPr>
                  </w:p>
                </w:txbxContent>
              </v:textbox>
            </v:rect>
          </v:group>
        </w:pic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highlight w:val="none"/>
          <w:lang w:val="en-US" w:eastAsia="zh-CN"/>
        </w:rPr>
        <w:t>柳州市城中区河东片区排水管网改造</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highlight w:val="none"/>
          <w:lang w:val="en-US" w:eastAsia="zh-CN"/>
        </w:rPr>
        <w:t>建设工程可行性研究报告</w:t>
      </w:r>
      <w:r>
        <w:rPr>
          <w:rFonts w:hint="eastAsia" w:ascii="方正小标宋简体" w:hAnsi="方正小标宋简体" w:eastAsia="方正小标宋简体" w:cs="方正小标宋简体"/>
          <w:sz w:val="44"/>
          <w:szCs w:val="44"/>
        </w:rPr>
        <w:t>的批复</w:t>
      </w:r>
    </w:p>
    <w:p>
      <w:pPr>
        <w:pStyle w:val="10"/>
        <w:keepNext w:val="0"/>
        <w:keepLines w:val="0"/>
        <w:pageBreakBefore w:val="0"/>
        <w:widowControl w:val="0"/>
        <w:kinsoku/>
        <w:wordWrap/>
        <w:overflowPunct/>
        <w:topLinePunct w:val="0"/>
        <w:autoSpaceDE/>
        <w:autoSpaceDN/>
        <w:bidi w:val="0"/>
        <w:adjustRightInd w:val="0"/>
        <w:snapToGrid/>
        <w:spacing w:after="0" w:line="600" w:lineRule="exact"/>
        <w:jc w:val="center"/>
        <w:textAlignment w:val="baseline"/>
        <w:rPr>
          <w:rFonts w:hint="default" w:ascii="Times New Roman" w:hAnsi="Times New Roman" w:eastAsia="方正小标宋简体" w:cs="方正小标宋简体"/>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柳州市城中区住房和城乡建设局</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bidi w:val="0"/>
        <w:spacing w:line="500" w:lineRule="exact"/>
        <w:ind w:left="0" w:leftChars="0"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sz w:val="32"/>
          <w:szCs w:val="32"/>
          <w:lang w:val="en-US"/>
        </w:rPr>
        <w:t>报来</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lang w:val="en-US"/>
        </w:rPr>
        <w:t>《</w:t>
      </w:r>
      <w:r>
        <w:rPr>
          <w:rFonts w:hint="eastAsia" w:ascii="Times New Roman" w:hAnsi="Times New Roman" w:eastAsia="仿宋_GB2312" w:cs="仿宋_GB2312"/>
          <w:sz w:val="32"/>
          <w:szCs w:val="32"/>
        </w:rPr>
        <w:t>关于</w:t>
      </w:r>
      <w:r>
        <w:rPr>
          <w:rFonts w:hint="eastAsia" w:ascii="Times New Roman" w:hAnsi="Times New Roman" w:eastAsia="仿宋_GB2312" w:cs="仿宋_GB2312"/>
          <w:sz w:val="32"/>
          <w:szCs w:val="32"/>
          <w:lang w:val="en-US" w:eastAsia="zh-CN"/>
        </w:rPr>
        <w:t>申请审批</w:t>
      </w:r>
      <w:bookmarkStart w:id="0" w:name="OLE_LINK2"/>
      <w:r>
        <w:rPr>
          <w:rFonts w:hint="eastAsia" w:ascii="Times New Roman" w:hAnsi="Times New Roman" w:eastAsia="仿宋_GB2312" w:cs="仿宋_GB2312"/>
          <w:sz w:val="32"/>
          <w:szCs w:val="32"/>
          <w:lang w:val="en-US" w:eastAsia="zh-CN"/>
        </w:rPr>
        <w:t>柳州市城中区河东片区排水管网改造建设工程</w:t>
      </w:r>
      <w:bookmarkEnd w:id="0"/>
      <w:r>
        <w:rPr>
          <w:rFonts w:hint="eastAsia" w:ascii="Times New Roman" w:hAnsi="Times New Roman" w:eastAsia="仿宋_GB2312" w:cs="仿宋_GB2312"/>
          <w:sz w:val="32"/>
          <w:szCs w:val="32"/>
          <w:lang w:val="en-US" w:eastAsia="zh-CN"/>
        </w:rPr>
        <w:t>可行性研究报告</w:t>
      </w:r>
      <w:r>
        <w:rPr>
          <w:rFonts w:hint="eastAsia" w:ascii="Times New Roman" w:hAnsi="Times New Roman" w:eastAsia="仿宋_GB2312" w:cs="仿宋_GB2312"/>
          <w:sz w:val="32"/>
          <w:szCs w:val="32"/>
        </w:rPr>
        <w:t>的请示</w:t>
      </w:r>
      <w:r>
        <w:rPr>
          <w:rFonts w:hint="eastAsia" w:ascii="Times New Roman" w:hAnsi="Times New Roman" w:eastAsia="仿宋_GB2312" w:cs="仿宋_GB2312"/>
          <w:sz w:val="32"/>
          <w:szCs w:val="32"/>
          <w:lang w:val="en-US"/>
        </w:rPr>
        <w:t>》</w:t>
      </w:r>
      <w:r>
        <w:rPr>
          <w:rFonts w:hint="eastAsia" w:ascii="Times New Roman" w:hAnsi="Times New Roman" w:eastAsia="仿宋_GB2312" w:cs="仿宋_GB2312"/>
          <w:sz w:val="32"/>
          <w:szCs w:val="32"/>
          <w:lang w:val="en-US" w:eastAsia="zh-CN"/>
        </w:rPr>
        <w:t>及相关材料已</w:t>
      </w:r>
      <w:r>
        <w:rPr>
          <w:rFonts w:hint="eastAsia" w:ascii="Times New Roman" w:hAnsi="Times New Roman" w:eastAsia="仿宋_GB2312" w:cs="仿宋_GB2312"/>
          <w:sz w:val="32"/>
          <w:szCs w:val="32"/>
          <w:lang w:val="en-US"/>
        </w:rPr>
        <w:t>收悉。</w:t>
      </w:r>
      <w:r>
        <w:rPr>
          <w:rFonts w:hint="default" w:ascii="Times New Roman" w:hAnsi="Times New Roman" w:eastAsia="仿宋_GB2312" w:cs="Times New Roman"/>
          <w:color w:val="auto"/>
          <w:sz w:val="32"/>
          <w:szCs w:val="32"/>
          <w:u w:val="none" w:color="auto"/>
          <w:lang w:val="en-US" w:eastAsia="zh-CN"/>
        </w:rPr>
        <w:t>该项目</w:t>
      </w:r>
      <w:r>
        <w:rPr>
          <w:rFonts w:hint="eastAsia" w:ascii="Times New Roman" w:hAnsi="Times New Roman" w:eastAsia="仿宋_GB2312" w:cs="Times New Roman"/>
          <w:color w:val="auto"/>
          <w:sz w:val="32"/>
          <w:szCs w:val="32"/>
          <w:u w:val="none" w:color="auto"/>
          <w:lang w:val="en-US" w:eastAsia="zh-CN"/>
        </w:rPr>
        <w:t>可行性研究报告</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经广西同泽工程项目管理股份有限公司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pPr>
        <w:keepNext w:val="0"/>
        <w:keepLines w:val="0"/>
        <w:pageBreakBefore w:val="0"/>
        <w:widowControl w:val="0"/>
        <w:kinsoku/>
        <w:wordWrap/>
        <w:overflowPunct/>
        <w:topLinePunct w:val="0"/>
        <w:bidi w:val="0"/>
        <w:spacing w:line="5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sz w:val="32"/>
          <w:szCs w:val="32"/>
          <w:lang w:val="en-US" w:eastAsia="zh-CN"/>
        </w:rPr>
        <w:t>一、为进一步</w:t>
      </w:r>
      <w:r>
        <w:rPr>
          <w:rFonts w:hint="eastAsia" w:ascii="Times New Roman" w:hAnsi="Times New Roman" w:eastAsia="仿宋_GB2312" w:cs="仿宋_GB2312"/>
          <w:sz w:val="32"/>
          <w:szCs w:val="32"/>
          <w:lang w:eastAsia="zh-CN"/>
        </w:rPr>
        <w:t>增强城市排水防涝能力</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000000"/>
          <w:sz w:val="32"/>
          <w:szCs w:val="32"/>
        </w:rPr>
        <w:t>原则同意柳州市城中区河东片区排水管网改造建设工程</w:t>
      </w:r>
      <w:r>
        <w:rPr>
          <w:rFonts w:hint="eastAsia" w:ascii="Times New Roman" w:hAnsi="Times New Roman" w:eastAsia="仿宋_GB2312" w:cs="仿宋_GB2312"/>
          <w:sz w:val="32"/>
          <w:szCs w:val="32"/>
        </w:rPr>
        <w:t>可行性研究报告</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bidi w:val="0"/>
        <w:spacing w:line="50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二、项目代码：</w:t>
      </w:r>
      <w:bookmarkStart w:id="1" w:name="OLE_LINK1"/>
      <w:r>
        <w:rPr>
          <w:rFonts w:hint="eastAsia" w:ascii="Times New Roman" w:hAnsi="Times New Roman" w:eastAsia="仿宋_GB2312" w:cs="仿宋_GB2312"/>
          <w:sz w:val="32"/>
          <w:szCs w:val="32"/>
        </w:rPr>
        <w:t>2412-450202-04-05-414840</w:t>
      </w:r>
      <w:bookmarkEnd w:id="1"/>
      <w:r>
        <w:rPr>
          <w:rFonts w:hint="eastAsia" w:ascii="Times New Roman" w:hAnsi="Times New Roman" w:eastAsia="仿宋_GB2312" w:cs="仿宋_GB2312"/>
          <w:color w:val="auto"/>
          <w:sz w:val="32"/>
          <w:szCs w:val="32"/>
          <w:highlight w:val="none"/>
          <w:lang w:val="en-US" w:eastAsia="zh-CN"/>
        </w:rPr>
        <w:t>。</w:t>
      </w:r>
    </w:p>
    <w:p>
      <w:pPr>
        <w:pStyle w:val="2"/>
        <w:keepNext w:val="0"/>
        <w:keepLines w:val="0"/>
        <w:pageBreakBefore w:val="0"/>
        <w:widowControl w:val="0"/>
        <w:kinsoku/>
        <w:wordWrap/>
        <w:overflowPunct/>
        <w:topLinePunct w:val="0"/>
        <w:bidi w:val="0"/>
        <w:spacing w:after="0" w:line="500" w:lineRule="exact"/>
        <w:ind w:firstLine="640" w:firstLineChars="200"/>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仿宋_GB2312"/>
          <w:b w:val="0"/>
          <w:bCs w:val="0"/>
          <w:color w:val="auto"/>
          <w:sz w:val="32"/>
          <w:szCs w:val="32"/>
          <w:highlight w:val="none"/>
          <w:lang w:val="en-US" w:eastAsia="zh-CN"/>
        </w:rPr>
        <w:t>：柳州市城中区河东片区文华路（晨华路至东环大道）、清和路（东郡誉苑至东环大道）、聚福苑东侧道路。</w:t>
      </w:r>
    </w:p>
    <w:p>
      <w:pPr>
        <w:keepNext w:val="0"/>
        <w:keepLines w:val="0"/>
        <w:pageBreakBefore w:val="0"/>
        <w:widowControl/>
        <w:suppressLineNumbers w:val="0"/>
        <w:kinsoku/>
        <w:wordWrap/>
        <w:overflowPunct/>
        <w:topLinePunct w:val="0"/>
        <w:bidi w:val="0"/>
        <w:spacing w:line="500" w:lineRule="exact"/>
        <w:ind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四、建设规模及主要内容：本项目拟对城中区河东片区排水管网进行完善，对因敷设排水管道破坏的现状道路路面进行恢复。</w:t>
      </w:r>
      <w:r>
        <w:rPr>
          <w:rStyle w:val="18"/>
          <w:rFonts w:ascii="Times New Roman" w:hAnsi="Times New Roman" w:eastAsia="仿宋_GB2312"/>
          <w:sz w:val="32"/>
          <w:lang w:val="en-US" w:eastAsia="zh-CN" w:bidi="ar"/>
        </w:rPr>
        <w:t>主要为文华路（晨华路至东环大道）、清和路（东郡誉苑至东环大道） 和聚福苑东侧道路排水管道的新建及改造。</w:t>
      </w:r>
      <w:r>
        <w:rPr>
          <w:rFonts w:ascii="Times New Roman" w:hAnsi="Times New Roman" w:eastAsia="仿宋_GB2312" w:cs="宋体"/>
          <w:kern w:val="0"/>
          <w:sz w:val="32"/>
          <w:szCs w:val="24"/>
          <w:lang w:val="en-US" w:eastAsia="zh-CN" w:bidi="ar"/>
        </w:rPr>
        <w:t xml:space="preserve"> </w:t>
      </w:r>
      <w:r>
        <w:rPr>
          <w:rFonts w:ascii="Times New Roman" w:hAnsi="Times New Roman" w:eastAsia="仿宋_GB2312" w:cs="宋体"/>
          <w:b w:val="0"/>
          <w:bCs w:val="0"/>
          <w:i w:val="0"/>
          <w:iCs w:val="0"/>
          <w:color w:val="000000"/>
          <w:kern w:val="0"/>
          <w:sz w:val="32"/>
          <w:szCs w:val="28"/>
          <w:lang w:val="en-US" w:eastAsia="zh-CN" w:bidi="ar"/>
        </w:rPr>
        <w:t>新建排水管道，</w:t>
      </w:r>
      <w:r>
        <w:rPr>
          <w:rFonts w:hint="eastAsia" w:eastAsia="仿宋_GB2312" w:cs="宋体"/>
          <w:b w:val="0"/>
          <w:bCs w:val="0"/>
          <w:i w:val="0"/>
          <w:iCs w:val="0"/>
          <w:color w:val="000000"/>
          <w:kern w:val="0"/>
          <w:sz w:val="32"/>
          <w:szCs w:val="28"/>
          <w:lang w:val="en-US" w:eastAsia="zh-CN" w:bidi="ar"/>
        </w:rPr>
        <w:t>断面为</w:t>
      </w:r>
      <w:r>
        <w:rPr>
          <w:rFonts w:hint="eastAsia" w:ascii="Times New Roman" w:hAnsi="Times New Roman" w:eastAsia="仿宋_GB2312" w:cs="仿宋_GB2312"/>
          <w:sz w:val="32"/>
          <w:szCs w:val="32"/>
          <w:lang w:val="en-US" w:eastAsia="zh-CN"/>
        </w:rPr>
        <w:t>d600～d1350</w:t>
      </w:r>
      <w:r>
        <w:rPr>
          <w:rFonts w:hint="eastAsia" w:eastAsia="仿宋_GB2312" w:cs="仿宋_GB2312"/>
          <w:sz w:val="32"/>
          <w:szCs w:val="32"/>
          <w:lang w:val="en-US" w:eastAsia="zh-CN"/>
        </w:rPr>
        <w:t>毫米</w:t>
      </w:r>
      <w:r>
        <w:rPr>
          <w:rFonts w:hint="eastAsia" w:ascii="Times New Roman" w:hAnsi="Times New Roman" w:eastAsia="仿宋_GB2312" w:cs="仿宋_GB2312"/>
          <w:sz w:val="32"/>
          <w:szCs w:val="32"/>
          <w:lang w:val="en-US" w:eastAsia="zh-CN"/>
        </w:rPr>
        <w:t>，主管总长</w:t>
      </w:r>
      <w:r>
        <w:rPr>
          <w:rFonts w:hint="eastAsia" w:eastAsia="仿宋_GB2312" w:cs="仿宋_GB2312"/>
          <w:sz w:val="32"/>
          <w:szCs w:val="32"/>
          <w:lang w:val="en-US" w:eastAsia="zh-CN"/>
        </w:rPr>
        <w:t>980</w:t>
      </w:r>
      <w:r>
        <w:rPr>
          <w:rFonts w:hint="eastAsia" w:ascii="Times New Roman" w:hAnsi="Times New Roman" w:eastAsia="仿宋_GB2312" w:cs="仿宋_GB2312"/>
          <w:sz w:val="32"/>
          <w:szCs w:val="32"/>
          <w:lang w:val="en-US" w:eastAsia="zh-CN"/>
        </w:rPr>
        <w:t>米，</w:t>
      </w:r>
      <w:r>
        <w:rPr>
          <w:rFonts w:ascii="Times New Roman" w:hAnsi="Times New Roman" w:eastAsia="仿宋_GB2312" w:cs="宋体"/>
          <w:b w:val="0"/>
          <w:bCs w:val="0"/>
          <w:i w:val="0"/>
          <w:iCs w:val="0"/>
          <w:color w:val="000000"/>
          <w:kern w:val="0"/>
          <w:sz w:val="32"/>
          <w:szCs w:val="28"/>
          <w:lang w:val="en-US" w:eastAsia="zh-CN" w:bidi="ar"/>
        </w:rPr>
        <w:t>管材为钢筋混凝土排水管</w:t>
      </w:r>
      <w:r>
        <w:rPr>
          <w:rFonts w:hint="eastAsia" w:eastAsia="仿宋_GB2312" w:cs="宋体"/>
          <w:b w:val="0"/>
          <w:bCs w:val="0"/>
          <w:i w:val="0"/>
          <w:iCs w:val="0"/>
          <w:color w:val="000000"/>
          <w:kern w:val="0"/>
          <w:sz w:val="32"/>
          <w:szCs w:val="28"/>
          <w:lang w:val="en-US" w:eastAsia="zh-CN" w:bidi="ar"/>
        </w:rPr>
        <w:t>；</w:t>
      </w:r>
      <w:r>
        <w:rPr>
          <w:rFonts w:ascii="Times New Roman" w:hAnsi="Times New Roman" w:eastAsia="仿宋_GB2312" w:cs="宋体"/>
          <w:b w:val="0"/>
          <w:bCs w:val="0"/>
          <w:i w:val="0"/>
          <w:iCs w:val="0"/>
          <w:color w:val="000000"/>
          <w:kern w:val="0"/>
          <w:sz w:val="32"/>
          <w:szCs w:val="28"/>
          <w:lang w:val="en-US" w:eastAsia="zh-CN" w:bidi="ar"/>
        </w:rPr>
        <w:t>改造清和路（东郡誉苑至东环大道）排水管道，断面为d800</w:t>
      </w:r>
      <w:r>
        <w:rPr>
          <w:rFonts w:hint="eastAsia" w:eastAsia="仿宋_GB2312" w:cs="宋体"/>
          <w:b w:val="0"/>
          <w:bCs w:val="0"/>
          <w:i w:val="0"/>
          <w:iCs w:val="0"/>
          <w:color w:val="000000"/>
          <w:kern w:val="0"/>
          <w:sz w:val="32"/>
          <w:szCs w:val="28"/>
          <w:lang w:val="en-US" w:eastAsia="zh-CN" w:bidi="ar"/>
        </w:rPr>
        <w:t>毫米</w:t>
      </w:r>
      <w:r>
        <w:rPr>
          <w:rFonts w:ascii="Times New Roman" w:hAnsi="Times New Roman" w:eastAsia="仿宋_GB2312" w:cs="宋体"/>
          <w:b w:val="0"/>
          <w:bCs w:val="0"/>
          <w:i w:val="0"/>
          <w:iCs w:val="0"/>
          <w:color w:val="000000"/>
          <w:kern w:val="0"/>
          <w:sz w:val="32"/>
          <w:szCs w:val="28"/>
          <w:lang w:val="en-US" w:eastAsia="zh-CN" w:bidi="ar"/>
        </w:rPr>
        <w:t>，主管总长200</w:t>
      </w:r>
      <w:r>
        <w:rPr>
          <w:rFonts w:hint="eastAsia" w:eastAsia="仿宋_GB2312" w:cs="宋体"/>
          <w:b w:val="0"/>
          <w:bCs w:val="0"/>
          <w:i w:val="0"/>
          <w:iCs w:val="0"/>
          <w:color w:val="000000"/>
          <w:kern w:val="0"/>
          <w:sz w:val="32"/>
          <w:szCs w:val="28"/>
          <w:lang w:val="en-US" w:eastAsia="zh-CN" w:bidi="ar"/>
        </w:rPr>
        <w:t>米</w:t>
      </w:r>
      <w:r>
        <w:rPr>
          <w:rFonts w:ascii="Times New Roman" w:hAnsi="Times New Roman" w:eastAsia="仿宋_GB2312" w:cs="宋体"/>
          <w:b w:val="0"/>
          <w:bCs w:val="0"/>
          <w:i w:val="0"/>
          <w:iCs w:val="0"/>
          <w:color w:val="000000"/>
          <w:kern w:val="0"/>
          <w:sz w:val="32"/>
          <w:szCs w:val="28"/>
          <w:lang w:val="en-US" w:eastAsia="zh-CN" w:bidi="ar"/>
        </w:rPr>
        <w:t>，管材为钢筋混凝土排水管。</w:t>
      </w:r>
      <w:r>
        <w:rPr>
          <w:rFonts w:ascii="Times New Roman" w:hAnsi="Times New Roman" w:eastAsia="仿宋_GB2312" w:cs="宋体"/>
          <w:kern w:val="0"/>
          <w:sz w:val="32"/>
          <w:szCs w:val="24"/>
          <w:lang w:val="en-US" w:eastAsia="zh-CN" w:bidi="ar"/>
        </w:rPr>
        <w:t xml:space="preserve"> </w:t>
      </w:r>
    </w:p>
    <w:p>
      <w:pPr>
        <w:keepNext w:val="0"/>
        <w:keepLines w:val="0"/>
        <w:pageBreakBefore w:val="0"/>
        <w:widowControl w:val="0"/>
        <w:kinsoku/>
        <w:wordWrap/>
        <w:overflowPunct/>
        <w:topLinePunct w:val="0"/>
        <w:bidi w:val="0"/>
        <w:adjustRightInd w:val="0"/>
        <w:snapToGrid w:val="0"/>
        <w:spacing w:line="500" w:lineRule="exact"/>
        <w:ind w:right="-334" w:rightChars="-159"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建设内容包括排水工程，道路工程</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bidi w:val="0"/>
        <w:snapToGrid/>
        <w:spacing w:line="500" w:lineRule="exact"/>
        <w:ind w:firstLine="640" w:firstLineChars="200"/>
        <w:rPr>
          <w:rFonts w:hint="eastAsia" w:ascii="Times New Roman" w:hAnsi="Times New Roman" w:eastAsia="仿宋_GB2312" w:cs="仿宋_GB2312"/>
          <w:color w:val="auto"/>
          <w:w w:val="100"/>
          <w:sz w:val="32"/>
          <w:szCs w:val="32"/>
          <w:highlight w:val="none"/>
          <w:lang w:val="en-US"/>
        </w:rPr>
      </w:pPr>
      <w:r>
        <w:rPr>
          <w:rFonts w:hint="eastAsia" w:ascii="Times New Roman" w:hAnsi="Times New Roman" w:eastAsia="仿宋_GB2312" w:cs="仿宋_GB2312"/>
          <w:color w:val="auto"/>
          <w:w w:val="100"/>
          <w:sz w:val="32"/>
          <w:szCs w:val="32"/>
          <w:highlight w:val="none"/>
          <w:lang w:val="en-US" w:eastAsia="zh-CN" w:bidi="ar-SA"/>
        </w:rPr>
        <w:t>五、投资规模及资金来源：项目总投资估算为1034.61万元。其中工程费用795.88万元，工程建设其他费用144.67万元，基本预备费为94.06万元。</w:t>
      </w:r>
      <w:r>
        <w:rPr>
          <w:rFonts w:hint="eastAsia" w:ascii="Times New Roman" w:hAnsi="Times New Roman" w:eastAsia="仿宋_GB2312" w:cs="仿宋_GB2312"/>
          <w:w w:val="100"/>
          <w:sz w:val="32"/>
          <w:szCs w:val="32"/>
        </w:rPr>
        <w:t>项目资金来源为</w:t>
      </w:r>
      <w:r>
        <w:rPr>
          <w:rFonts w:hint="eastAsia" w:ascii="Times New Roman" w:hAnsi="Times New Roman" w:eastAsia="仿宋_GB2312" w:cs="仿宋_GB2312"/>
          <w:sz w:val="32"/>
          <w:szCs w:val="32"/>
        </w:rPr>
        <w:t>申请上级资金和</w:t>
      </w:r>
      <w:r>
        <w:rPr>
          <w:rFonts w:hint="eastAsia" w:ascii="Times New Roman" w:hAnsi="Times New Roman" w:eastAsia="仿宋_GB2312" w:cs="仿宋_GB2312"/>
          <w:sz w:val="32"/>
          <w:szCs w:val="32"/>
          <w:lang w:val="en-US" w:eastAsia="zh-CN"/>
        </w:rPr>
        <w:t>城区</w:t>
      </w:r>
      <w:r>
        <w:rPr>
          <w:rFonts w:hint="eastAsia" w:ascii="Times New Roman" w:hAnsi="Times New Roman" w:eastAsia="仿宋_GB2312" w:cs="仿宋_GB2312"/>
          <w:sz w:val="32"/>
          <w:szCs w:val="32"/>
        </w:rPr>
        <w:t>财政</w:t>
      </w:r>
      <w:r>
        <w:rPr>
          <w:rFonts w:hint="eastAsia" w:ascii="Times New Roman" w:hAnsi="Times New Roman" w:eastAsia="仿宋_GB2312" w:cs="仿宋_GB2312"/>
          <w:sz w:val="32"/>
          <w:szCs w:val="32"/>
          <w:lang w:val="en-US" w:eastAsia="zh-CN"/>
        </w:rPr>
        <w:t>配套</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w w:val="100"/>
          <w:sz w:val="32"/>
          <w:szCs w:val="32"/>
          <w:lang w:eastAsia="zh-CN"/>
        </w:rPr>
        <w:t>以上费用</w:t>
      </w:r>
      <w:r>
        <w:rPr>
          <w:rFonts w:hint="eastAsia" w:ascii="Times New Roman" w:hAnsi="Times New Roman" w:eastAsia="仿宋_GB2312" w:cs="仿宋_GB2312"/>
          <w:color w:val="auto"/>
          <w:w w:val="100"/>
          <w:sz w:val="32"/>
          <w:szCs w:val="32"/>
          <w:lang w:val="en-US" w:eastAsia="zh-CN"/>
        </w:rPr>
        <w:t>以</w:t>
      </w:r>
      <w:r>
        <w:rPr>
          <w:rFonts w:hint="eastAsia" w:ascii="Times New Roman" w:hAnsi="Times New Roman" w:eastAsia="仿宋_GB2312" w:cs="仿宋_GB2312"/>
          <w:color w:val="auto"/>
          <w:w w:val="100"/>
          <w:sz w:val="32"/>
          <w:szCs w:val="32"/>
          <w:lang w:eastAsia="zh-CN"/>
        </w:rPr>
        <w:t>结算审核部门的最终结算为准。</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六、接文后，请严格按照基本建设程序办理相关建设事项，严格控制项目建设标准、建设规模、概算等控制性指标，不得随意变更和突破。</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pPr>
        <w:keepNext w:val="0"/>
        <w:keepLines w:val="0"/>
        <w:pageBreakBefore w:val="0"/>
        <w:widowControl w:val="0"/>
        <w:kinsoku/>
        <w:wordWrap/>
        <w:overflowPunct/>
        <w:topLinePunct w:val="0"/>
        <w:autoSpaceDE/>
        <w:autoSpaceDN/>
        <w:bidi w:val="0"/>
        <w:adjustRightInd w:val="0"/>
        <w:snapToGrid/>
        <w:spacing w:line="500" w:lineRule="exact"/>
        <w:ind w:left="0"/>
        <w:textAlignment w:val="baseline"/>
        <w:rPr>
          <w:rFonts w:hint="eastAsia" w:ascii="Times New Roman" w:hAnsi="Times New Roman"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bidi w:val="0"/>
        <w:spacing w:line="500" w:lineRule="exact"/>
        <w:ind w:left="0" w:leftChars="0" w:firstLine="640" w:firstLineChars="200"/>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b w:val="0"/>
          <w:bCs w:val="0"/>
          <w:i w:val="0"/>
          <w:iCs w:val="0"/>
          <w:caps w:val="0"/>
          <w:color w:val="auto"/>
          <w:spacing w:val="0"/>
          <w:sz w:val="32"/>
          <w:szCs w:val="32"/>
          <w:shd w:val="clear" w:fill="FFFFFF"/>
        </w:rPr>
        <w:t>附件:招标事项核准意见表</w:t>
      </w:r>
    </w:p>
    <w:p>
      <w:pPr>
        <w:keepNext w:val="0"/>
        <w:keepLines w:val="0"/>
        <w:pageBreakBefore w:val="0"/>
        <w:widowControl w:val="0"/>
        <w:kinsoku/>
        <w:wordWrap/>
        <w:overflowPunct/>
        <w:topLinePunct w:val="0"/>
        <w:bidi w:val="0"/>
        <w:spacing w:line="500" w:lineRule="exact"/>
        <w:ind w:left="0" w:leftChars="0"/>
        <w:rPr>
          <w:rFonts w:hint="eastAsia" w:ascii="Times New Roman" w:hAnsi="Times New Roman" w:eastAsia="仿宋_GB2312" w:cs="仿宋_GB2312"/>
          <w:sz w:val="32"/>
          <w:szCs w:val="32"/>
          <w:lang w:val="en-US" w:eastAsia="zh-CN"/>
        </w:rPr>
      </w:pPr>
    </w:p>
    <w:p>
      <w:pPr>
        <w:pStyle w:val="5"/>
        <w:keepNext w:val="0"/>
        <w:keepLines w:val="0"/>
        <w:pageBreakBefore w:val="0"/>
        <w:widowControl w:val="0"/>
        <w:kinsoku/>
        <w:wordWrap/>
        <w:overflowPunct/>
        <w:topLinePunct w:val="0"/>
        <w:autoSpaceDE/>
        <w:autoSpaceDN/>
        <w:bidi w:val="0"/>
        <w:snapToGrid/>
        <w:spacing w:after="0" w:line="500" w:lineRule="exact"/>
        <w:ind w:left="0" w:leftChars="0"/>
        <w:rPr>
          <w:rFonts w:hint="eastAsia" w:ascii="Times New Roman" w:hAnsi="Times New Roman" w:eastAsia="仿宋_GB2312" w:cs="仿宋_GB2312"/>
          <w:color w:val="auto"/>
          <w:sz w:val="32"/>
          <w:szCs w:val="32"/>
          <w:lang w:val="en-US" w:eastAsia="zh-CN"/>
        </w:rPr>
      </w:pPr>
    </w:p>
    <w:p>
      <w:pPr>
        <w:pStyle w:val="6"/>
        <w:keepNext w:val="0"/>
        <w:keepLines w:val="0"/>
        <w:pageBreakBefore w:val="0"/>
        <w:widowControl w:val="0"/>
        <w:kinsoku/>
        <w:wordWrap/>
        <w:overflowPunct/>
        <w:topLinePunct w:val="0"/>
        <w:bidi w:val="0"/>
        <w:snapToGrid/>
        <w:spacing w:line="500" w:lineRule="exact"/>
        <w:ind w:left="0" w:leftChars="0"/>
        <w:rPr>
          <w:rFonts w:hint="eastAsia" w:ascii="Times New Roman" w:hAnsi="Times New Roman" w:eastAsia="仿宋_GB2312" w:cs="仿宋_GB2312"/>
          <w:color w:val="auto"/>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val="0"/>
        <w:snapToGrid/>
        <w:spacing w:after="0" w:line="500" w:lineRule="exact"/>
        <w:ind w:left="0" w:leftChars="0" w:right="0"/>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柳州市城中区发展和改革局        </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textAlignment w:val="baseline"/>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25年2</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20</w:t>
      </w:r>
      <w:r>
        <w:rPr>
          <w:rFonts w:hint="eastAsia" w:ascii="Times New Roman" w:hAnsi="Times New Roman" w:eastAsia="仿宋_GB2312" w:cs="仿宋_GB2312"/>
          <w:color w:val="auto"/>
          <w:sz w:val="32"/>
          <w:szCs w:val="32"/>
        </w:rPr>
        <w:t>日</w:t>
      </w:r>
    </w:p>
    <w:p>
      <w:pPr>
        <w:pStyle w:val="11"/>
        <w:keepNext w:val="0"/>
        <w:keepLines w:val="0"/>
        <w:pageBreakBefore w:val="0"/>
        <w:widowControl w:val="0"/>
        <w:kinsoku/>
        <w:wordWrap/>
        <w:overflowPunct/>
        <w:topLinePunct w:val="0"/>
        <w:autoSpaceDE/>
        <w:autoSpaceDN/>
        <w:bidi w:val="0"/>
        <w:snapToGrid/>
        <w:spacing w:after="0" w:line="500" w:lineRule="exact"/>
        <w:ind w:left="0" w:leftChars="0" w:firstLine="640" w:firstLineChars="200"/>
        <w:rPr>
          <w:rFonts w:hint="eastAsia" w:eastAsia="楷体_GB2312" w:cs="Times New Roman"/>
          <w:b/>
          <w:color w:val="auto"/>
          <w:sz w:val="32"/>
          <w:szCs w:val="32"/>
          <w:highlight w:val="none"/>
          <w:u w:val="single"/>
          <w:lang w:val="en-US" w:eastAsia="zh-CN"/>
        </w:rPr>
      </w:pPr>
      <w:r>
        <w:rPr>
          <w:rFonts w:hint="eastAsia" w:ascii="Times New Roman" w:hAnsi="Times New Roman" w:eastAsia="仿宋_GB2312" w:cs="仿宋_GB2312"/>
          <w:sz w:val="32"/>
          <w:szCs w:val="32"/>
          <w:lang w:eastAsia="zh-CN"/>
        </w:rPr>
        <w:t>（此件公开发布）</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eastAsia="楷体_GB2312" w:cs="Times New Roman"/>
          <w:b/>
          <w:color w:val="auto"/>
          <w:sz w:val="32"/>
          <w:szCs w:val="32"/>
          <w:highlight w:val="none"/>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default" w:ascii="Times New Roman" w:hAnsi="Times New Roman" w:eastAsia="楷体_GB2312" w:cs="Times New Roman"/>
          <w:b/>
          <w:color w:val="auto"/>
          <w:sz w:val="32"/>
          <w:szCs w:val="32"/>
          <w:highlight w:val="none"/>
          <w:u w:val="single"/>
        </w:rPr>
      </w:pP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520" w:lineRule="exact"/>
        <w:ind w:firstLine="520" w:firstLineChars="200"/>
        <w:textAlignment w:val="baseline"/>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抄送：</w:t>
      </w:r>
      <w:r>
        <w:rPr>
          <w:rFonts w:hint="eastAsia" w:ascii="仿宋" w:hAnsi="仿宋" w:eastAsia="仿宋" w:cs="仿宋"/>
          <w:color w:val="auto"/>
          <w:spacing w:val="-10"/>
          <w:sz w:val="28"/>
          <w:szCs w:val="28"/>
          <w:highlight w:val="none"/>
          <w:lang w:val="en-US" w:eastAsia="zh-CN"/>
        </w:rPr>
        <w:t>城中区政府办，</w:t>
      </w:r>
      <w:r>
        <w:rPr>
          <w:rFonts w:hint="eastAsia" w:ascii="仿宋" w:hAnsi="仿宋" w:eastAsia="仿宋" w:cs="仿宋"/>
          <w:color w:val="auto"/>
          <w:spacing w:val="-10"/>
          <w:sz w:val="28"/>
          <w:szCs w:val="28"/>
          <w:highlight w:val="none"/>
          <w:lang w:eastAsia="zh-CN"/>
        </w:rPr>
        <w:t>城中区</w:t>
      </w:r>
      <w:r>
        <w:rPr>
          <w:rFonts w:hint="eastAsia" w:ascii="仿宋" w:hAnsi="仿宋" w:eastAsia="仿宋" w:cs="仿宋"/>
          <w:color w:val="auto"/>
          <w:spacing w:val="-10"/>
          <w:sz w:val="28"/>
          <w:szCs w:val="28"/>
          <w:highlight w:val="none"/>
          <w:lang w:val="en-US" w:eastAsia="zh-CN"/>
        </w:rPr>
        <w:t>住建局，</w:t>
      </w:r>
      <w:r>
        <w:rPr>
          <w:rFonts w:hint="eastAsia" w:ascii="仿宋" w:hAnsi="仿宋" w:eastAsia="仿宋" w:cs="仿宋"/>
          <w:color w:val="auto"/>
          <w:spacing w:val="-10"/>
          <w:sz w:val="28"/>
          <w:szCs w:val="28"/>
          <w:highlight w:val="none"/>
          <w:lang w:eastAsia="zh-CN"/>
        </w:rPr>
        <w:t>城中区财政局，城中区</w:t>
      </w:r>
      <w:r>
        <w:rPr>
          <w:rFonts w:hint="eastAsia" w:ascii="仿宋" w:hAnsi="仿宋" w:eastAsia="仿宋" w:cs="仿宋"/>
          <w:color w:val="auto"/>
          <w:spacing w:val="-10"/>
          <w:sz w:val="28"/>
          <w:szCs w:val="28"/>
          <w:highlight w:val="none"/>
          <w:lang w:val="en-US" w:eastAsia="zh-CN"/>
        </w:rPr>
        <w:t>司法局，</w:t>
      </w:r>
    </w:p>
    <w:p>
      <w:pPr>
        <w:keepNext w:val="0"/>
        <w:keepLines w:val="0"/>
        <w:pageBreakBefore w:val="0"/>
        <w:widowControl w:val="0"/>
        <w:kinsoku/>
        <w:wordWrap/>
        <w:overflowPunct/>
        <w:topLinePunct w:val="0"/>
        <w:autoSpaceDE/>
        <w:autoSpaceDN/>
        <w:bidi w:val="0"/>
        <w:adjustRightInd w:val="0"/>
        <w:snapToGrid/>
        <w:spacing w:line="520" w:lineRule="exact"/>
        <w:ind w:firstLine="1300" w:firstLineChars="500"/>
        <w:textAlignment w:val="baseline"/>
        <w:rPr>
          <w:rFonts w:hint="eastAsia" w:ascii="仿宋" w:hAnsi="仿宋" w:eastAsia="仿宋" w:cs="仿宋"/>
          <w:color w:val="auto"/>
          <w:spacing w:val="-16"/>
          <w:sz w:val="28"/>
          <w:szCs w:val="28"/>
          <w:highlight w:val="none"/>
          <w:lang w:val="en-US" w:eastAsia="zh-CN"/>
        </w:rPr>
      </w:pPr>
      <w:r>
        <w:rPr>
          <w:rFonts w:hint="eastAsia" w:ascii="仿宋" w:hAnsi="仿宋" w:eastAsia="仿宋" w:cs="仿宋"/>
          <w:color w:val="auto"/>
          <w:spacing w:val="-10"/>
          <w:sz w:val="28"/>
          <w:szCs w:val="28"/>
          <w:lang w:val="en-US" w:eastAsia="zh-CN"/>
        </w:rPr>
        <w:t>城中区自然资源局，城中生态环境局。</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仿宋" w:hAnsi="仿宋" w:eastAsia="仿宋" w:cs="仿宋"/>
          <w:color w:val="auto"/>
          <w:spacing w:val="-16"/>
          <w:sz w:val="28"/>
          <w:szCs w:val="28"/>
          <w:highlight w:val="none"/>
          <w:u w:val="single"/>
        </w:rPr>
      </w:pPr>
      <w:r>
        <w:rPr>
          <w:rFonts w:hint="eastAsia" w:ascii="仿宋" w:hAnsi="仿宋" w:eastAsia="仿宋" w:cs="仿宋"/>
          <w:color w:val="auto"/>
          <w:spacing w:val="-16"/>
          <w:sz w:val="28"/>
          <w:szCs w:val="28"/>
          <w:highlight w:val="none"/>
          <w:u w:val="single"/>
        </w:rPr>
        <w:t xml:space="preserve">     本</w:t>
      </w:r>
      <w:r>
        <w:rPr>
          <w:rFonts w:hint="eastAsia" w:ascii="仿宋" w:hAnsi="仿宋" w:eastAsia="仿宋" w:cs="仿宋"/>
          <w:color w:val="auto"/>
          <w:spacing w:val="-16"/>
          <w:sz w:val="28"/>
          <w:szCs w:val="28"/>
          <w:highlight w:val="none"/>
          <w:u w:val="single"/>
          <w:lang w:eastAsia="zh-CN"/>
        </w:rPr>
        <w:t>局</w:t>
      </w:r>
      <w:r>
        <w:rPr>
          <w:rFonts w:hint="eastAsia" w:ascii="仿宋" w:hAnsi="仿宋" w:eastAsia="仿宋" w:cs="仿宋"/>
          <w:color w:val="auto"/>
          <w:spacing w:val="-16"/>
          <w:sz w:val="28"/>
          <w:szCs w:val="28"/>
          <w:highlight w:val="none"/>
          <w:u w:val="single"/>
        </w:rPr>
        <w:t xml:space="preserve">存档。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color w:val="auto"/>
          <w:sz w:val="28"/>
          <w:szCs w:val="28"/>
          <w:highlight w:val="none"/>
        </w:rPr>
      </w:pP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z w:val="28"/>
          <w:szCs w:val="28"/>
          <w:highlight w:val="none"/>
          <w:u w:val="single"/>
        </w:rPr>
        <w:t>柳州市</w:t>
      </w:r>
      <w:r>
        <w:rPr>
          <w:rFonts w:hint="eastAsia" w:ascii="仿宋" w:hAnsi="仿宋" w:eastAsia="仿宋" w:cs="仿宋"/>
          <w:color w:val="auto"/>
          <w:sz w:val="28"/>
          <w:szCs w:val="28"/>
          <w:highlight w:val="none"/>
          <w:u w:val="single"/>
          <w:lang w:eastAsia="zh-CN"/>
        </w:rPr>
        <w:t>城中区</w:t>
      </w:r>
      <w:r>
        <w:rPr>
          <w:rFonts w:hint="eastAsia" w:ascii="仿宋" w:hAnsi="仿宋" w:eastAsia="仿宋" w:cs="仿宋"/>
          <w:color w:val="auto"/>
          <w:sz w:val="28"/>
          <w:szCs w:val="28"/>
          <w:highlight w:val="none"/>
          <w:u w:val="single"/>
        </w:rPr>
        <w:t>发展和改革</w:t>
      </w:r>
      <w:r>
        <w:rPr>
          <w:rFonts w:hint="eastAsia" w:ascii="仿宋" w:hAnsi="仿宋" w:eastAsia="仿宋" w:cs="仿宋"/>
          <w:color w:val="auto"/>
          <w:sz w:val="28"/>
          <w:szCs w:val="28"/>
          <w:highlight w:val="none"/>
          <w:u w:val="single"/>
          <w:lang w:eastAsia="zh-CN"/>
        </w:rPr>
        <w:t>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u w:val="single"/>
        </w:rPr>
        <w:t>日印</w:t>
      </w:r>
      <w:r>
        <w:rPr>
          <w:rFonts w:hint="eastAsia" w:ascii="仿宋" w:hAnsi="仿宋" w:eastAsia="仿宋" w:cs="仿宋"/>
          <w:color w:val="auto"/>
          <w:sz w:val="28"/>
          <w:szCs w:val="28"/>
          <w:highlight w:val="none"/>
          <w:u w:val="single"/>
          <w:lang w:val="en-US" w:eastAsia="zh-CN"/>
        </w:rPr>
        <w:t xml:space="preserve">发  </w:t>
      </w:r>
      <w:r>
        <w:rPr>
          <w:rFonts w:hint="default" w:ascii="Times New Roman" w:hAnsi="Times New Roman" w:cs="Times New Roman"/>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黑体" w:hAnsi="黑体" w:eastAsia="黑体"/>
          <w:color w:val="auto"/>
          <w:sz w:val="32"/>
          <w:szCs w:val="32"/>
          <w:highlight w:val="none"/>
        </w:rPr>
        <w:sectPr>
          <w:headerReference r:id="rId6" w:type="first"/>
          <w:footerReference r:id="rId8" w:type="first"/>
          <w:headerReference r:id="rId5" w:type="default"/>
          <w:footerReference r:id="rId7" w:type="default"/>
          <w:pgSz w:w="11905" w:h="16837"/>
          <w:pgMar w:top="1417" w:right="1587" w:bottom="1417" w:left="1587" w:header="567" w:footer="340" w:gutter="0"/>
          <w:pgNumType w:fmt="decimal" w:start="1"/>
          <w:cols w:space="720" w:num="1"/>
          <w:titlePg/>
        </w:sectPr>
      </w:pPr>
    </w:p>
    <w:p>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w:t>
      </w:r>
    </w:p>
    <w:tbl>
      <w:tblPr>
        <w:tblStyle w:val="12"/>
        <w:tblW w:w="10842" w:type="dxa"/>
        <w:tblInd w:w="0" w:type="dxa"/>
        <w:tblLayout w:type="fixed"/>
        <w:tblCellMar>
          <w:top w:w="15" w:type="dxa"/>
          <w:left w:w="15" w:type="dxa"/>
          <w:bottom w:w="15" w:type="dxa"/>
          <w:right w:w="15" w:type="dxa"/>
        </w:tblCellMar>
      </w:tblPr>
      <w:tblGrid>
        <w:gridCol w:w="1373"/>
        <w:gridCol w:w="877"/>
        <w:gridCol w:w="877"/>
        <w:gridCol w:w="877"/>
        <w:gridCol w:w="877"/>
        <w:gridCol w:w="877"/>
        <w:gridCol w:w="877"/>
        <w:gridCol w:w="940"/>
        <w:gridCol w:w="1339"/>
        <w:gridCol w:w="715"/>
        <w:gridCol w:w="82"/>
        <w:gridCol w:w="1131"/>
      </w:tblGrid>
      <w:tr>
        <w:tblPrEx>
          <w:tblCellMar>
            <w:top w:w="15" w:type="dxa"/>
            <w:left w:w="15" w:type="dxa"/>
            <w:bottom w:w="15" w:type="dxa"/>
            <w:right w:w="15" w:type="dxa"/>
          </w:tblCellMar>
        </w:tblPrEx>
        <w:trPr>
          <w:trHeight w:val="705" w:hRule="atLeast"/>
        </w:trPr>
        <w:tc>
          <w:tcPr>
            <w:tcW w:w="10842" w:type="dxa"/>
            <w:gridSpan w:val="12"/>
            <w:noWrap w:val="0"/>
            <w:vAlign w:val="center"/>
          </w:tcPr>
          <w:p>
            <w:pPr>
              <w:widowControl/>
              <w:ind w:firstLine="3080" w:firstLineChars="700"/>
              <w:jc w:val="both"/>
              <w:textAlignment w:val="center"/>
              <w:rPr>
                <w:rFonts w:eastAsia="黑体"/>
                <w:b/>
                <w:color w:val="auto"/>
                <w:sz w:val="28"/>
                <w:szCs w:val="28"/>
                <w:highlight w:val="none"/>
              </w:rPr>
            </w:pPr>
            <w:r>
              <w:rPr>
                <w:rFonts w:hint="eastAsia" w:ascii="方正小标宋简体" w:hAnsi="方正小标宋简体" w:eastAsia="方正小标宋简体" w:cs="方正小标宋简体"/>
                <w:b w:val="0"/>
                <w:bCs/>
                <w:color w:val="auto"/>
                <w:kern w:val="0"/>
                <w:sz w:val="44"/>
                <w:szCs w:val="44"/>
                <w:highlight w:val="none"/>
              </w:rPr>
              <w:t>招标事项核准意见表</w:t>
            </w:r>
          </w:p>
        </w:tc>
      </w:tr>
      <w:tr>
        <w:tblPrEx>
          <w:tblCellMar>
            <w:top w:w="15" w:type="dxa"/>
            <w:left w:w="15" w:type="dxa"/>
            <w:bottom w:w="15" w:type="dxa"/>
            <w:right w:w="15" w:type="dxa"/>
          </w:tblCellMar>
        </w:tblPrEx>
        <w:trPr>
          <w:trHeight w:val="570" w:hRule="atLeast"/>
        </w:trPr>
        <w:tc>
          <w:tcPr>
            <w:tcW w:w="1373" w:type="dxa"/>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项目单位：</w:t>
            </w:r>
          </w:p>
        </w:tc>
        <w:tc>
          <w:tcPr>
            <w:tcW w:w="6202" w:type="dxa"/>
            <w:gridSpan w:val="7"/>
            <w:noWrap w:val="0"/>
            <w:vAlign w:val="center"/>
          </w:tcPr>
          <w:p>
            <w:pPr>
              <w:widowControl/>
              <w:jc w:val="left"/>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lang w:val="en-US" w:eastAsia="zh-CN"/>
              </w:rPr>
              <w:t>柳州市城中区住房和城乡建设局</w:t>
            </w:r>
          </w:p>
        </w:tc>
        <w:tc>
          <w:tcPr>
            <w:tcW w:w="2054" w:type="dxa"/>
            <w:gridSpan w:val="2"/>
            <w:noWrap w:val="0"/>
            <w:vAlign w:val="center"/>
          </w:tcPr>
          <w:p>
            <w:pPr>
              <w:widowControl/>
              <w:jc w:val="left"/>
              <w:textAlignment w:val="center"/>
              <w:rPr>
                <w:rFonts w:hint="eastAsia" w:ascii="仿宋_GB2312" w:hAnsi="仿宋_GB2312" w:eastAsia="仿宋_GB2312" w:cs="仿宋_GB2312"/>
                <w:color w:val="auto"/>
                <w:kern w:val="0"/>
                <w:sz w:val="32"/>
                <w:szCs w:val="32"/>
                <w:highlight w:val="none"/>
              </w:rPr>
            </w:pPr>
          </w:p>
        </w:tc>
        <w:tc>
          <w:tcPr>
            <w:tcW w:w="1213" w:type="dxa"/>
            <w:gridSpan w:val="2"/>
            <w:noWrap w:val="0"/>
            <w:vAlign w:val="center"/>
          </w:tcPr>
          <w:p>
            <w:pPr>
              <w:widowControl/>
              <w:jc w:val="left"/>
              <w:textAlignment w:val="center"/>
              <w:rPr>
                <w:rFonts w:hint="eastAsia" w:ascii="仿宋_GB2312" w:hAnsi="仿宋_GB2312" w:eastAsia="仿宋_GB2312" w:cs="仿宋_GB2312"/>
                <w:color w:val="auto"/>
                <w:kern w:val="0"/>
                <w:sz w:val="32"/>
                <w:szCs w:val="32"/>
                <w:highlight w:val="none"/>
              </w:rPr>
            </w:pPr>
          </w:p>
        </w:tc>
      </w:tr>
      <w:tr>
        <w:tblPrEx>
          <w:tblCellMar>
            <w:top w:w="15" w:type="dxa"/>
            <w:left w:w="15" w:type="dxa"/>
            <w:bottom w:w="15" w:type="dxa"/>
            <w:right w:w="15" w:type="dxa"/>
          </w:tblCellMar>
        </w:tblPrEx>
        <w:trPr>
          <w:trHeight w:val="570" w:hRule="atLeast"/>
        </w:trPr>
        <w:tc>
          <w:tcPr>
            <w:tcW w:w="1373" w:type="dxa"/>
            <w:tcBorders>
              <w:bottom w:val="nil"/>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项目名称：</w:t>
            </w:r>
          </w:p>
        </w:tc>
        <w:tc>
          <w:tcPr>
            <w:tcW w:w="9469" w:type="dxa"/>
            <w:gridSpan w:val="11"/>
            <w:tcBorders>
              <w:bottom w:val="nil"/>
            </w:tcBorders>
            <w:noWrap w:val="0"/>
            <w:vAlign w:val="center"/>
          </w:tcPr>
          <w:p>
            <w:pPr>
              <w:widowControl/>
              <w:jc w:val="left"/>
              <w:textAlignment w:val="center"/>
              <w:rPr>
                <w:rFonts w:hint="eastAsia" w:ascii="宋体" w:hAnsi="宋体" w:eastAsia="宋体" w:cs="宋体"/>
                <w:color w:val="auto"/>
                <w:kern w:val="0"/>
                <w:sz w:val="28"/>
                <w:szCs w:val="28"/>
                <w:highlight w:val="none"/>
                <w:lang w:eastAsia="zh-CN"/>
              </w:rPr>
            </w:pPr>
            <w:r>
              <w:rPr>
                <w:rFonts w:hint="eastAsia" w:ascii="宋体" w:hAnsi="宋体" w:eastAsia="宋体" w:cs="宋体"/>
                <w:sz w:val="28"/>
                <w:szCs w:val="28"/>
                <w:lang w:val="en-US" w:eastAsia="zh-CN"/>
              </w:rPr>
              <w:t>柳州市城中区河东片区排水管网改造建设工程</w:t>
            </w:r>
          </w:p>
        </w:tc>
      </w:tr>
      <w:tr>
        <w:tblPrEx>
          <w:tblCellMar>
            <w:top w:w="15" w:type="dxa"/>
            <w:left w:w="15" w:type="dxa"/>
            <w:bottom w:w="15" w:type="dxa"/>
            <w:right w:w="15" w:type="dxa"/>
          </w:tblCellMar>
        </w:tblPrEx>
        <w:trPr>
          <w:gridAfter w:val="3"/>
          <w:wAfter w:w="1928" w:type="dxa"/>
          <w:trHeight w:val="840" w:hRule="atLeast"/>
        </w:trPr>
        <w:tc>
          <w:tcPr>
            <w:tcW w:w="13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名称</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招标范围</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招标组织</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形式</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招标方式</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不采用招标方式</w:t>
            </w:r>
          </w:p>
        </w:tc>
        <w:tc>
          <w:tcPr>
            <w:tcW w:w="13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估算金额</w:t>
            </w:r>
          </w:p>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（万元）</w:t>
            </w:r>
          </w:p>
        </w:tc>
      </w:tr>
      <w:tr>
        <w:tblPrEx>
          <w:tblCellMar>
            <w:top w:w="15" w:type="dxa"/>
            <w:left w:w="15" w:type="dxa"/>
            <w:bottom w:w="15" w:type="dxa"/>
            <w:right w:w="15" w:type="dxa"/>
          </w:tblCellMar>
        </w:tblPrEx>
        <w:trPr>
          <w:gridAfter w:val="3"/>
          <w:wAfter w:w="1928" w:type="dxa"/>
          <w:trHeight w:val="840" w:hRule="atLeast"/>
        </w:trPr>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全部</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部分</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自行</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委托</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公开</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邀请</w:t>
            </w: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招标</w:t>
            </w: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13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p>
        </w:tc>
      </w:tr>
      <w:tr>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设计</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color w:val="auto"/>
                <w:kern w:val="0"/>
                <w:sz w:val="28"/>
                <w:szCs w:val="28"/>
                <w:highlight w:val="none"/>
                <w:lang w:val="en-US" w:eastAsia="zh-CN"/>
              </w:rPr>
            </w:pPr>
            <w:r>
              <w:rPr>
                <w:rFonts w:hint="eastAsia" w:cs="Times New Roman"/>
                <w:color w:val="auto"/>
                <w:kern w:val="0"/>
                <w:sz w:val="28"/>
                <w:szCs w:val="28"/>
                <w:highlight w:val="none"/>
                <w:lang w:val="en-US" w:eastAsia="zh-CN"/>
              </w:rPr>
              <w:t>37.41</w:t>
            </w:r>
          </w:p>
        </w:tc>
      </w:tr>
      <w:tr>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pacing w:line="360" w:lineRule="auto"/>
              <w:jc w:val="center"/>
              <w:rPr>
                <w:rFonts w:hint="default" w:ascii="Times New Roman" w:hAnsi="Times New Roman" w:eastAsia="仿宋" w:cs="Times New Roman"/>
                <w:color w:val="auto"/>
                <w:sz w:val="28"/>
                <w:szCs w:val="28"/>
                <w:lang w:val="en-US" w:eastAsia="zh-CN" w:bidi="ar-SA"/>
              </w:rPr>
            </w:pPr>
            <w:r>
              <w:rPr>
                <w:rFonts w:hint="eastAsia"/>
                <w:sz w:val="28"/>
                <w:szCs w:val="28"/>
                <w:lang w:val="en-US" w:eastAsia="zh-CN"/>
              </w:rPr>
              <w:t>19.64</w:t>
            </w:r>
          </w:p>
        </w:tc>
      </w:tr>
      <w:tr>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勘察</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bookmarkStart w:id="2" w:name="_GoBack"/>
            <w:bookmarkEnd w:id="2"/>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Times New Roman" w:hAnsi="Times New Roman" w:eastAsia="仿宋" w:cs="Times New Roman"/>
                <w:color w:val="auto"/>
                <w:sz w:val="28"/>
                <w:szCs w:val="28"/>
                <w:lang w:val="en-US" w:eastAsia="zh-CN" w:bidi="ar-SA"/>
              </w:rPr>
            </w:pPr>
            <w:r>
              <w:rPr>
                <w:rFonts w:hint="eastAsia" w:cs="Times New Roman"/>
                <w:b w:val="0"/>
                <w:color w:val="000000"/>
                <w:sz w:val="28"/>
                <w:szCs w:val="28"/>
                <w:lang w:val="en-US" w:eastAsia="zh-CN"/>
              </w:rPr>
              <w:t>17.91</w:t>
            </w:r>
          </w:p>
        </w:tc>
      </w:tr>
      <w:tr>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建筑及安装</w:t>
            </w:r>
            <w:r>
              <w:rPr>
                <w:rFonts w:hint="eastAsia" w:ascii="宋体" w:hAnsi="宋体" w:eastAsia="宋体" w:cs="宋体"/>
                <w:color w:val="auto"/>
                <w:kern w:val="0"/>
                <w:sz w:val="28"/>
                <w:szCs w:val="28"/>
                <w:highlight w:val="none"/>
              </w:rPr>
              <w:t>工程</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Times New Roman" w:hAnsi="Times New Roman" w:eastAsia="仿宋" w:cs="Times New Roman"/>
                <w:color w:val="auto"/>
                <w:sz w:val="28"/>
                <w:szCs w:val="28"/>
                <w:lang w:val="en-US" w:eastAsia="zh-CN" w:bidi="ar-SA"/>
              </w:rPr>
            </w:pPr>
            <w:r>
              <w:rPr>
                <w:rFonts w:hint="eastAsia" w:cs="Times New Roman"/>
                <w:color w:val="000000"/>
                <w:sz w:val="28"/>
                <w:szCs w:val="28"/>
                <w:lang w:val="en-US" w:eastAsia="zh-CN"/>
              </w:rPr>
              <w:t>795.88</w:t>
            </w:r>
          </w:p>
        </w:tc>
      </w:tr>
      <w:tr>
        <w:tblPrEx>
          <w:tblCellMar>
            <w:top w:w="15" w:type="dxa"/>
            <w:left w:w="15" w:type="dxa"/>
            <w:bottom w:w="15" w:type="dxa"/>
            <w:right w:w="15" w:type="dxa"/>
          </w:tblCellMar>
        </w:tblPrEx>
        <w:trPr>
          <w:gridAfter w:val="3"/>
          <w:wAfter w:w="1928" w:type="dxa"/>
          <w:trHeight w:val="525" w:hRule="atLeast"/>
        </w:trPr>
        <w:tc>
          <w:tcPr>
            <w:tcW w:w="3127" w:type="dxa"/>
            <w:gridSpan w:val="3"/>
            <w:tcBorders>
              <w:top w:val="single" w:color="auto" w:sz="4" w:space="0"/>
              <w:left w:val="single" w:color="000000" w:sz="4" w:space="0"/>
            </w:tcBorders>
            <w:noWrap w:val="0"/>
            <w:vAlign w:val="center"/>
          </w:tcPr>
          <w:p>
            <w:pPr>
              <w:widowControl/>
              <w:jc w:val="left"/>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审批部门核准意见说明：</w:t>
            </w: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940" w:type="dxa"/>
            <w:tcBorders>
              <w:top w:val="single" w:color="auto" w:sz="4" w:space="0"/>
            </w:tcBorders>
            <w:noWrap w:val="0"/>
            <w:vAlign w:val="center"/>
          </w:tcPr>
          <w:p>
            <w:pPr>
              <w:jc w:val="left"/>
              <w:rPr>
                <w:rFonts w:hint="eastAsia" w:ascii="宋体" w:hAnsi="宋体" w:eastAsia="宋体" w:cs="宋体"/>
                <w:color w:val="auto"/>
                <w:sz w:val="28"/>
                <w:szCs w:val="28"/>
                <w:highlight w:val="none"/>
              </w:rPr>
            </w:pPr>
          </w:p>
        </w:tc>
        <w:tc>
          <w:tcPr>
            <w:tcW w:w="1339" w:type="dxa"/>
            <w:tcBorders>
              <w:top w:val="single" w:color="auto" w:sz="4" w:space="0"/>
              <w:right w:val="single" w:color="auto" w:sz="4" w:space="0"/>
            </w:tcBorders>
            <w:noWrap w:val="0"/>
            <w:vAlign w:val="center"/>
          </w:tcPr>
          <w:p>
            <w:pPr>
              <w:jc w:val="left"/>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3"/>
          <w:wAfter w:w="1928" w:type="dxa"/>
          <w:trHeight w:val="510" w:hRule="atLeast"/>
        </w:trPr>
        <w:tc>
          <w:tcPr>
            <w:tcW w:w="8914" w:type="dxa"/>
            <w:gridSpan w:val="9"/>
            <w:vMerge w:val="restart"/>
            <w:tcBorders>
              <w:left w:val="single" w:color="000000" w:sz="4" w:space="0"/>
              <w:right w:val="single" w:color="auto" w:sz="4" w:space="0"/>
            </w:tcBorders>
            <w:noWrap w:val="0"/>
            <w:vAlign w:val="center"/>
          </w:tcPr>
          <w:p>
            <w:pPr>
              <w:pStyle w:val="2"/>
              <w:ind w:firstLine="560" w:firstLineChars="200"/>
              <w:rPr>
                <w:rFonts w:hint="eastAsia" w:ascii="宋体" w:hAnsi="宋体" w:eastAsia="宋体" w:cs="宋体"/>
                <w:color w:val="auto"/>
                <w:sz w:val="28"/>
                <w:szCs w:val="28"/>
                <w:highlight w:val="none"/>
              </w:rPr>
            </w:pPr>
            <w:r>
              <w:rPr>
                <w:rFonts w:hint="eastAsia" w:ascii="宋体" w:hAnsi="宋体" w:eastAsia="宋体" w:cs="宋体"/>
                <w:i w:val="0"/>
                <w:color w:val="auto"/>
                <w:kern w:val="0"/>
                <w:sz w:val="28"/>
                <w:szCs w:val="28"/>
                <w:highlight w:val="none"/>
                <w:u w:val="none"/>
                <w:lang w:val="en-US" w:eastAsia="zh-CN" w:bidi="ar"/>
              </w:rPr>
              <w:t>根据《中华人民共和国招标投标法》</w:t>
            </w:r>
            <w:r>
              <w:rPr>
                <w:rFonts w:hint="eastAsia" w:ascii="宋体" w:hAnsi="宋体" w:cs="宋体"/>
                <w:i w:val="0"/>
                <w:color w:val="auto"/>
                <w:kern w:val="0"/>
                <w:sz w:val="28"/>
                <w:szCs w:val="28"/>
                <w:highlight w:val="none"/>
                <w:u w:val="none"/>
                <w:lang w:val="en-US" w:eastAsia="zh-CN" w:bidi="ar"/>
              </w:rPr>
              <w:t>，</w:t>
            </w:r>
            <w:r>
              <w:rPr>
                <w:rFonts w:hint="eastAsia" w:ascii="宋体" w:hAnsi="宋体" w:eastAsia="宋体" w:cs="宋体"/>
                <w:i w:val="0"/>
                <w:color w:val="auto"/>
                <w:kern w:val="0"/>
                <w:sz w:val="28"/>
                <w:szCs w:val="28"/>
                <w:highlight w:val="none"/>
                <w:u w:val="none"/>
                <w:lang w:val="en-US" w:eastAsia="zh-CN" w:bidi="ar"/>
              </w:rPr>
              <w:t>《中华人民共和国招标投标法实施条例》和《广西壮族自治区实施&lt;中华人民共和国招标投标法&gt;办法》，核准该项工程建设的招标方案。</w:t>
            </w:r>
          </w:p>
        </w:tc>
      </w:tr>
      <w:tr>
        <w:tblPrEx>
          <w:tblCellMar>
            <w:top w:w="15" w:type="dxa"/>
            <w:left w:w="15" w:type="dxa"/>
            <w:bottom w:w="15" w:type="dxa"/>
            <w:right w:w="15" w:type="dxa"/>
          </w:tblCellMar>
        </w:tblPrEx>
        <w:trPr>
          <w:gridAfter w:val="3"/>
          <w:wAfter w:w="1928" w:type="dxa"/>
          <w:trHeight w:val="510" w:hRule="atLeast"/>
        </w:trPr>
        <w:tc>
          <w:tcPr>
            <w:tcW w:w="8914" w:type="dxa"/>
            <w:gridSpan w:val="9"/>
            <w:vMerge w:val="continue"/>
            <w:tcBorders>
              <w:left w:val="single" w:color="000000" w:sz="4" w:space="0"/>
              <w:right w:val="single" w:color="auto" w:sz="4" w:space="0"/>
            </w:tcBorders>
            <w:noWrap w:val="0"/>
            <w:vAlign w:val="center"/>
          </w:tcPr>
          <w:p>
            <w:pPr>
              <w:jc w:val="left"/>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3"/>
          <w:wAfter w:w="1928" w:type="dxa"/>
          <w:trHeight w:val="840" w:hRule="atLeast"/>
        </w:trPr>
        <w:tc>
          <w:tcPr>
            <w:tcW w:w="8914" w:type="dxa"/>
            <w:gridSpan w:val="9"/>
            <w:vMerge w:val="continue"/>
            <w:tcBorders>
              <w:left w:val="single" w:color="000000" w:sz="4" w:space="0"/>
              <w:right w:val="single" w:color="auto" w:sz="4" w:space="0"/>
            </w:tcBorders>
            <w:noWrap w:val="0"/>
            <w:vAlign w:val="center"/>
          </w:tcPr>
          <w:p>
            <w:pPr>
              <w:jc w:val="left"/>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3"/>
          <w:wAfter w:w="1928" w:type="dxa"/>
          <w:trHeight w:val="420" w:hRule="atLeast"/>
        </w:trPr>
        <w:tc>
          <w:tcPr>
            <w:tcW w:w="1373" w:type="dxa"/>
            <w:tcBorders>
              <w:left w:val="single" w:color="000000" w:sz="4" w:space="0"/>
            </w:tcBorders>
            <w:noWrap w:val="0"/>
            <w:vAlign w:val="center"/>
          </w:tcPr>
          <w:p>
            <w:pPr>
              <w:rPr>
                <w:rFonts w:hint="eastAsia" w:ascii="宋体" w:hAnsi="宋体" w:eastAsia="宋体" w:cs="宋体"/>
                <w:color w:val="auto"/>
                <w:sz w:val="28"/>
                <w:szCs w:val="28"/>
                <w:highlight w:val="none"/>
              </w:rPr>
            </w:pPr>
          </w:p>
        </w:tc>
        <w:tc>
          <w:tcPr>
            <w:tcW w:w="877" w:type="dxa"/>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3156" w:type="dxa"/>
            <w:gridSpan w:val="3"/>
            <w:tcBorders>
              <w:right w:val="single" w:color="auto" w:sz="4" w:space="0"/>
            </w:tcBorders>
            <w:noWrap w:val="0"/>
            <w:vAlign w:val="bottom"/>
          </w:tcPr>
          <w:p>
            <w:pPr>
              <w:widowControl/>
              <w:jc w:val="center"/>
              <w:textAlignment w:val="bottom"/>
              <w:rPr>
                <w:rFonts w:hint="eastAsia" w:ascii="宋体" w:hAnsi="宋体" w:eastAsia="宋体" w:cs="宋体"/>
                <w:color w:val="auto"/>
                <w:sz w:val="28"/>
                <w:szCs w:val="28"/>
                <w:highlight w:val="none"/>
              </w:rPr>
            </w:pPr>
          </w:p>
        </w:tc>
      </w:tr>
      <w:tr>
        <w:tblPrEx>
          <w:tblCellMar>
            <w:top w:w="15" w:type="dxa"/>
            <w:left w:w="15" w:type="dxa"/>
            <w:bottom w:w="15" w:type="dxa"/>
            <w:right w:w="15" w:type="dxa"/>
          </w:tblCellMar>
        </w:tblPrEx>
        <w:trPr>
          <w:gridAfter w:val="1"/>
          <w:wAfter w:w="1131" w:type="dxa"/>
          <w:trHeight w:val="181" w:hRule="atLeast"/>
        </w:trPr>
        <w:tc>
          <w:tcPr>
            <w:tcW w:w="1373" w:type="dxa"/>
            <w:tcBorders>
              <w:left w:val="single" w:color="000000" w:sz="4" w:space="0"/>
            </w:tcBorders>
            <w:noWrap w:val="0"/>
            <w:vAlign w:val="center"/>
          </w:tcPr>
          <w:p>
            <w:pPr>
              <w:rPr>
                <w:rFonts w:hint="eastAsia" w:ascii="宋体" w:hAnsi="宋体" w:eastAsia="宋体" w:cs="宋体"/>
                <w:color w:val="auto"/>
                <w:sz w:val="28"/>
                <w:szCs w:val="28"/>
                <w:highlight w:val="none"/>
              </w:rPr>
            </w:pPr>
          </w:p>
        </w:tc>
        <w:tc>
          <w:tcPr>
            <w:tcW w:w="877" w:type="dxa"/>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1754" w:type="dxa"/>
            <w:gridSpan w:val="2"/>
            <w:noWrap w:val="0"/>
            <w:vAlign w:val="center"/>
          </w:tcPr>
          <w:p>
            <w:pPr>
              <w:rPr>
                <w:rFonts w:hint="eastAsia" w:ascii="宋体" w:hAnsi="宋体" w:eastAsia="宋体" w:cs="宋体"/>
                <w:color w:val="auto"/>
                <w:sz w:val="28"/>
                <w:szCs w:val="28"/>
                <w:highlight w:val="none"/>
              </w:rPr>
            </w:pPr>
          </w:p>
        </w:tc>
        <w:tc>
          <w:tcPr>
            <w:tcW w:w="877" w:type="dxa"/>
            <w:noWrap w:val="0"/>
            <w:vAlign w:val="center"/>
          </w:tcPr>
          <w:p>
            <w:pPr>
              <w:rPr>
                <w:rFonts w:hint="eastAsia" w:ascii="宋体" w:hAnsi="宋体" w:eastAsia="宋体" w:cs="宋体"/>
                <w:color w:val="auto"/>
                <w:sz w:val="28"/>
                <w:szCs w:val="28"/>
                <w:highlight w:val="none"/>
              </w:rPr>
            </w:pPr>
          </w:p>
        </w:tc>
        <w:tc>
          <w:tcPr>
            <w:tcW w:w="940" w:type="dxa"/>
            <w:noWrap w:val="0"/>
            <w:vAlign w:val="center"/>
          </w:tcPr>
          <w:p>
            <w:pPr>
              <w:rPr>
                <w:rFonts w:hint="eastAsia" w:ascii="宋体" w:hAnsi="宋体" w:eastAsia="宋体" w:cs="宋体"/>
                <w:color w:val="auto"/>
                <w:sz w:val="28"/>
                <w:szCs w:val="28"/>
                <w:highlight w:val="none"/>
              </w:rPr>
            </w:pPr>
          </w:p>
        </w:tc>
        <w:tc>
          <w:tcPr>
            <w:tcW w:w="1339" w:type="dxa"/>
            <w:tcBorders>
              <w:right w:val="single" w:color="auto" w:sz="4" w:space="0"/>
            </w:tcBorders>
            <w:noWrap w:val="0"/>
            <w:vAlign w:val="center"/>
          </w:tcPr>
          <w:p>
            <w:pPr>
              <w:rPr>
                <w:rFonts w:hint="eastAsia" w:ascii="宋体" w:hAnsi="宋体" w:eastAsia="宋体" w:cs="宋体"/>
                <w:color w:val="auto"/>
                <w:sz w:val="28"/>
                <w:szCs w:val="28"/>
                <w:highlight w:val="none"/>
              </w:rPr>
            </w:pPr>
          </w:p>
        </w:tc>
        <w:tc>
          <w:tcPr>
            <w:tcW w:w="715" w:type="dxa"/>
            <w:tcBorders>
              <w:left w:val="single" w:color="auto" w:sz="4" w:space="0"/>
            </w:tcBorders>
            <w:noWrap w:val="0"/>
            <w:vAlign w:val="center"/>
          </w:tcPr>
          <w:p>
            <w:pPr>
              <w:rPr>
                <w:color w:val="auto"/>
                <w:sz w:val="24"/>
                <w:szCs w:val="24"/>
                <w:highlight w:val="none"/>
              </w:rPr>
            </w:pPr>
          </w:p>
        </w:tc>
        <w:tc>
          <w:tcPr>
            <w:tcW w:w="82" w:type="dxa"/>
            <w:noWrap w:val="0"/>
            <w:vAlign w:val="center"/>
          </w:tcPr>
          <w:p>
            <w:pPr>
              <w:rPr>
                <w:color w:val="auto"/>
                <w:sz w:val="24"/>
                <w:szCs w:val="24"/>
                <w:highlight w:val="none"/>
              </w:rPr>
            </w:pPr>
          </w:p>
        </w:tc>
      </w:tr>
      <w:tr>
        <w:tblPrEx>
          <w:tblCellMar>
            <w:top w:w="15" w:type="dxa"/>
            <w:left w:w="15" w:type="dxa"/>
            <w:bottom w:w="15" w:type="dxa"/>
            <w:right w:w="15" w:type="dxa"/>
          </w:tblCellMar>
        </w:tblPrEx>
        <w:trPr>
          <w:gridAfter w:val="3"/>
          <w:wAfter w:w="1928" w:type="dxa"/>
          <w:trHeight w:val="935" w:hRule="atLeast"/>
        </w:trPr>
        <w:tc>
          <w:tcPr>
            <w:tcW w:w="1373" w:type="dxa"/>
            <w:tcBorders>
              <w:left w:val="single" w:color="000000" w:sz="4" w:space="0"/>
              <w:bottom w:val="single" w:color="auto" w:sz="4" w:space="0"/>
            </w:tcBorders>
            <w:noWrap w:val="0"/>
            <w:vAlign w:val="center"/>
          </w:tcPr>
          <w:p>
            <w:pPr>
              <w:rPr>
                <w:rFonts w:hint="eastAsia" w:ascii="宋体" w:hAnsi="宋体" w:eastAsia="宋体" w:cs="宋体"/>
                <w:color w:val="auto"/>
                <w:sz w:val="28"/>
                <w:szCs w:val="28"/>
                <w:highlight w:val="none"/>
              </w:rPr>
            </w:pPr>
          </w:p>
        </w:tc>
        <w:tc>
          <w:tcPr>
            <w:tcW w:w="877" w:type="dxa"/>
            <w:tcBorders>
              <w:bottom w:val="single" w:color="auto" w:sz="4" w:space="0"/>
            </w:tcBorders>
            <w:noWrap w:val="0"/>
            <w:vAlign w:val="center"/>
          </w:tcPr>
          <w:p>
            <w:pPr>
              <w:rPr>
                <w:rFonts w:hint="eastAsia" w:ascii="宋体" w:hAnsi="宋体" w:eastAsia="宋体" w:cs="宋体"/>
                <w:color w:val="auto"/>
                <w:sz w:val="28"/>
                <w:szCs w:val="28"/>
                <w:highlight w:val="none"/>
              </w:rPr>
            </w:pPr>
          </w:p>
        </w:tc>
        <w:tc>
          <w:tcPr>
            <w:tcW w:w="1754" w:type="dxa"/>
            <w:gridSpan w:val="2"/>
            <w:tcBorders>
              <w:bottom w:val="single" w:color="auto" w:sz="4" w:space="0"/>
            </w:tcBorders>
            <w:noWrap w:val="0"/>
            <w:vAlign w:val="center"/>
          </w:tcPr>
          <w:p>
            <w:pPr>
              <w:rPr>
                <w:rFonts w:hint="eastAsia" w:ascii="宋体" w:hAnsi="宋体" w:eastAsia="宋体" w:cs="宋体"/>
                <w:color w:val="auto"/>
                <w:sz w:val="28"/>
                <w:szCs w:val="28"/>
                <w:highlight w:val="none"/>
              </w:rPr>
            </w:pPr>
          </w:p>
        </w:tc>
        <w:tc>
          <w:tcPr>
            <w:tcW w:w="1754" w:type="dxa"/>
            <w:gridSpan w:val="2"/>
            <w:tcBorders>
              <w:bottom w:val="single" w:color="auto" w:sz="4" w:space="0"/>
            </w:tcBorders>
            <w:noWrap w:val="0"/>
            <w:vAlign w:val="center"/>
          </w:tcPr>
          <w:p>
            <w:pPr>
              <w:rPr>
                <w:rFonts w:hint="eastAsia" w:ascii="宋体" w:hAnsi="宋体" w:eastAsia="宋体" w:cs="宋体"/>
                <w:color w:val="auto"/>
                <w:sz w:val="28"/>
                <w:szCs w:val="28"/>
                <w:highlight w:val="none"/>
              </w:rPr>
            </w:pPr>
          </w:p>
        </w:tc>
        <w:tc>
          <w:tcPr>
            <w:tcW w:w="3156" w:type="dxa"/>
            <w:gridSpan w:val="3"/>
            <w:tcBorders>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审批部门盖章</w:t>
            </w:r>
          </w:p>
          <w:p>
            <w:pPr>
              <w:pStyle w:val="2"/>
              <w:rPr>
                <w:rFonts w:hint="eastAsia"/>
                <w:color w:val="auto"/>
                <w:highlight w:val="none"/>
              </w:rPr>
            </w:pPr>
          </w:p>
          <w:p>
            <w:pPr>
              <w:widowControl/>
              <w:jc w:val="center"/>
              <w:textAlignment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202</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20</w:t>
            </w:r>
            <w:r>
              <w:rPr>
                <w:rFonts w:hint="eastAsia" w:ascii="宋体" w:hAnsi="宋体" w:eastAsia="宋体" w:cs="宋体"/>
                <w:color w:val="auto"/>
                <w:kern w:val="0"/>
                <w:sz w:val="28"/>
                <w:szCs w:val="28"/>
                <w:highlight w:val="none"/>
              </w:rPr>
              <w:t>日</w:t>
            </w:r>
          </w:p>
        </w:tc>
      </w:tr>
    </w:tbl>
    <w:p>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color w:val="auto"/>
          <w:sz w:val="10"/>
          <w:szCs w:val="10"/>
          <w:highlight w:val="none"/>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2336;mso-width-relative:page;mso-height-relative:page;" filled="f" stroked="f" coordsize="21600,21600">
          <v:path/>
          <v:fill on="f" focussize="0,0"/>
          <v:stroke on="f" weight="1.25pt"/>
          <v:imagedata o:title=""/>
          <o:lock v:ext="edit" aspectratio="f"/>
          <v:textbox inset="0mm,0mm,0mm,0mm">
            <w:txbxContent>
              <w:p>
                <w:pPr>
                  <w:pStyle w:val="7"/>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637"/>
        <w:tab w:val="clear" w:pos="4153"/>
      </w:tabs>
      <w:rPr>
        <w:rFonts w:hint="eastAsia" w:ascii="宋体" w:hAnsi="宋体" w:eastAsia="宋体" w:cs="宋体"/>
        <w:sz w:val="28"/>
        <w:szCs w:val="28"/>
        <w:lang w:val="en-US"/>
      </w:rPr>
    </w:pPr>
    <w:r>
      <w:rPr>
        <w:sz w:val="18"/>
      </w:rPr>
      <w:pict>
        <v:shape id="_x0000_s2069" o:spid="_x0000_s2069" o:spt="202" type="#_x0000_t202" style="position:absolute;left:0pt;margin-top:-39.3pt;height:25.95pt;width:54.9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70" o:spid="_x0000_s2070" o:spt="202" type="#_x0000_t202" style="position:absolute;left:0pt;margin-top:-39.3pt;height:144pt;width:144pt;mso-position-horizontal:outside;mso-position-horizontal-relative:margin;mso-wrap-style:none;z-index:251666432;mso-width-relative:page;mso-height-relative:page;" filled="f" stroked="f" coordsize="21600,21600">
          <v:path/>
          <v:fill on="f" focussize="0,0"/>
          <v:stroke on="f" weight="1.2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71" o:spid="_x0000_s2071" o:spt="202" type="#_x0000_t202" style="position:absolute;left:0pt;margin-left:424.2pt;margin-top:-25.9pt;height:22.6pt;width:59.65pt;mso-position-horizontal-relative:margin;z-index:251667456;mso-width-relative:page;mso-height-relative:page;" filled="f" stroked="f" coordsize="21600,21600">
          <v:path/>
          <v:fill on="f" focussize="0,0"/>
          <v:stroke on="f" weight="1.25pt"/>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18"/>
      </w:rPr>
      <w:pict>
        <v:shape id="_x0000_s2063" o:spid="_x0000_s2063" o:spt="202" type="#_x0000_t202" style="position:absolute;left:0pt;margin-left:449.6pt;margin-top:-28.15pt;height:15.4pt;width:50.2pt;mso-position-horizontal-relative:margin;z-index:251663360;mso-width-relative:page;mso-height-relative:page;" filled="f" stroked="f" coordsize="21600,21600">
          <v:path/>
          <v:fill on="f" focussize="0,0"/>
          <v:stroke on="f" weight="1.25pt"/>
          <v:imagedata o:title=""/>
          <o:lock v:ext="edit" aspectratio="f"/>
          <v:textbox inset="0mm,0mm,0mm,0mm">
            <w:txbxContent>
              <w:p>
                <w:pPr>
                  <w:pStyle w:val="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0C67AB"/>
    <w:rsid w:val="0345161E"/>
    <w:rsid w:val="036500F8"/>
    <w:rsid w:val="03C561E4"/>
    <w:rsid w:val="051E1FF4"/>
    <w:rsid w:val="07837DB7"/>
    <w:rsid w:val="07B714CA"/>
    <w:rsid w:val="07DC6674"/>
    <w:rsid w:val="08362F4D"/>
    <w:rsid w:val="0A910858"/>
    <w:rsid w:val="0A9B1F4D"/>
    <w:rsid w:val="0B27504B"/>
    <w:rsid w:val="0FC0413F"/>
    <w:rsid w:val="10185E91"/>
    <w:rsid w:val="12151B0C"/>
    <w:rsid w:val="1281441A"/>
    <w:rsid w:val="13D515CD"/>
    <w:rsid w:val="155C643E"/>
    <w:rsid w:val="1560212A"/>
    <w:rsid w:val="156F0D07"/>
    <w:rsid w:val="17746684"/>
    <w:rsid w:val="18CB4268"/>
    <w:rsid w:val="1C233926"/>
    <w:rsid w:val="1C97074E"/>
    <w:rsid w:val="1DCB56F8"/>
    <w:rsid w:val="1FC43A2D"/>
    <w:rsid w:val="2127033E"/>
    <w:rsid w:val="21454CC6"/>
    <w:rsid w:val="25A82B55"/>
    <w:rsid w:val="269D47D5"/>
    <w:rsid w:val="27482766"/>
    <w:rsid w:val="28057687"/>
    <w:rsid w:val="28236631"/>
    <w:rsid w:val="284E569A"/>
    <w:rsid w:val="29E22DD0"/>
    <w:rsid w:val="29E86206"/>
    <w:rsid w:val="2A1B5F4E"/>
    <w:rsid w:val="2B0D7846"/>
    <w:rsid w:val="2C50167C"/>
    <w:rsid w:val="2E7168D5"/>
    <w:rsid w:val="31AC6D17"/>
    <w:rsid w:val="31B23A98"/>
    <w:rsid w:val="327174A9"/>
    <w:rsid w:val="33EC3333"/>
    <w:rsid w:val="353869B8"/>
    <w:rsid w:val="36225D94"/>
    <w:rsid w:val="378D2007"/>
    <w:rsid w:val="37B1036E"/>
    <w:rsid w:val="37D800AA"/>
    <w:rsid w:val="37E14321"/>
    <w:rsid w:val="380C1690"/>
    <w:rsid w:val="3A0950A7"/>
    <w:rsid w:val="3A8673A2"/>
    <w:rsid w:val="3AAD2C8A"/>
    <w:rsid w:val="3C13079F"/>
    <w:rsid w:val="3C190114"/>
    <w:rsid w:val="3CBE503F"/>
    <w:rsid w:val="3EF40C5D"/>
    <w:rsid w:val="3F721126"/>
    <w:rsid w:val="3F9C7063"/>
    <w:rsid w:val="3FF73350"/>
    <w:rsid w:val="40101F5B"/>
    <w:rsid w:val="40705CC8"/>
    <w:rsid w:val="40AB488F"/>
    <w:rsid w:val="43A44BAD"/>
    <w:rsid w:val="47426E34"/>
    <w:rsid w:val="47446A78"/>
    <w:rsid w:val="477403A6"/>
    <w:rsid w:val="48ED6699"/>
    <w:rsid w:val="49721A29"/>
    <w:rsid w:val="4AC32269"/>
    <w:rsid w:val="4B2560D5"/>
    <w:rsid w:val="4B520BBC"/>
    <w:rsid w:val="4EC216CF"/>
    <w:rsid w:val="4F223BBB"/>
    <w:rsid w:val="4FE85CE7"/>
    <w:rsid w:val="501A7887"/>
    <w:rsid w:val="508B6C32"/>
    <w:rsid w:val="526E25FD"/>
    <w:rsid w:val="52FB11CB"/>
    <w:rsid w:val="532136E9"/>
    <w:rsid w:val="56D35A71"/>
    <w:rsid w:val="56E2037C"/>
    <w:rsid w:val="5C09435E"/>
    <w:rsid w:val="5CF14DE0"/>
    <w:rsid w:val="5DE612A5"/>
    <w:rsid w:val="5F2C2894"/>
    <w:rsid w:val="5F631169"/>
    <w:rsid w:val="60B2311C"/>
    <w:rsid w:val="60EE10ED"/>
    <w:rsid w:val="62EC3E31"/>
    <w:rsid w:val="63B941AB"/>
    <w:rsid w:val="63F75AD9"/>
    <w:rsid w:val="64002AA2"/>
    <w:rsid w:val="64311286"/>
    <w:rsid w:val="65F94D64"/>
    <w:rsid w:val="66756A5B"/>
    <w:rsid w:val="67517F99"/>
    <w:rsid w:val="690E5ED3"/>
    <w:rsid w:val="697B45AE"/>
    <w:rsid w:val="69B610FC"/>
    <w:rsid w:val="6A27404E"/>
    <w:rsid w:val="6AED3D0E"/>
    <w:rsid w:val="6B297E52"/>
    <w:rsid w:val="6D922064"/>
    <w:rsid w:val="6DBD79F0"/>
    <w:rsid w:val="6DE024AC"/>
    <w:rsid w:val="6F5F4F9E"/>
    <w:rsid w:val="6FFA2839"/>
    <w:rsid w:val="70FA3967"/>
    <w:rsid w:val="737D5781"/>
    <w:rsid w:val="75D93CE6"/>
    <w:rsid w:val="764A63CC"/>
    <w:rsid w:val="773748FC"/>
    <w:rsid w:val="7C5606AD"/>
    <w:rsid w:val="7D6B1EB7"/>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5">
    <w:name w:val="Body Text Indent"/>
    <w:basedOn w:val="1"/>
    <w:next w:val="6"/>
    <w:unhideWhenUsed/>
    <w:qFormat/>
    <w:uiPriority w:val="99"/>
    <w:pPr>
      <w:spacing w:after="120"/>
      <w:ind w:left="420" w:left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2"/>
    <w:next w:val="1"/>
    <w:unhideWhenUsed/>
    <w:qFormat/>
    <w:uiPriority w:val="99"/>
    <w:pPr>
      <w:spacing w:line="600" w:lineRule="exact"/>
      <w:ind w:firstLine="720" w:firstLineChars="200"/>
      <w:jc w:val="left"/>
    </w:pPr>
    <w:rPr>
      <w:rFonts w:ascii="宋体" w:hAnsi="宋体" w:cs="宋体"/>
      <w:sz w:val="28"/>
      <w:szCs w:val="22"/>
    </w:rPr>
  </w:style>
  <w:style w:type="paragraph" w:styleId="11">
    <w:name w:val="Body Text First Indent 2"/>
    <w:basedOn w:val="5"/>
    <w:unhideWhenUsed/>
    <w:qFormat/>
    <w:uiPriority w:val="99"/>
    <w:pPr>
      <w:tabs>
        <w:tab w:val="left" w:pos="4789"/>
      </w:tabs>
      <w:spacing w:line="360" w:lineRule="auto"/>
      <w:ind w:left="0" w:leftChars="0" w:firstLine="1040" w:firstLineChars="200"/>
    </w:pPr>
    <w:rPr>
      <w:rFonts w:ascii="Times New Roman" w:hAns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List Paragraph"/>
    <w:basedOn w:val="1"/>
    <w:qFormat/>
    <w:uiPriority w:val="34"/>
    <w:pPr>
      <w:ind w:firstLine="420" w:firstLineChars="200"/>
    </w:pPr>
  </w:style>
  <w:style w:type="paragraph" w:customStyle="1" w:styleId="17">
    <w:name w:val="样式 行距: 1.5 倍行距 首行缩进:  2 字符"/>
    <w:basedOn w:val="1"/>
    <w:qFormat/>
    <w:uiPriority w:val="0"/>
    <w:pPr>
      <w:adjustRightInd w:val="0"/>
      <w:snapToGrid w:val="0"/>
      <w:spacing w:line="460" w:lineRule="exact"/>
    </w:pPr>
    <w:rPr>
      <w:sz w:val="24"/>
    </w:rPr>
  </w:style>
  <w:style w:type="character" w:customStyle="1" w:styleId="18">
    <w:name w:val="fontstyle01"/>
    <w:basedOn w:val="14"/>
    <w:uiPriority w:val="0"/>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68" textRotate="1"/>
    <customShpInfo spid="_x0000_s2056" textRotate="1"/>
    <customShpInfo spid="_x0000_s2052"/>
    <customShpInfo spid="_x0000_s2069" textRotate="1"/>
    <customShpInfo spid="_x0000_s2070" textRotate="1"/>
    <customShpInfo spid="_x0000_s2054"/>
    <customShpInfo spid="_x0000_s2071" textRotate="1"/>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Administrator</cp:lastModifiedBy>
  <cp:lastPrinted>2025-03-06T10:53:32Z</cp:lastPrinted>
  <dcterms:modified xsi:type="dcterms:W3CDTF">2025-03-06T10:53:36Z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04368C9FEDD84F52AA187703D6BEBC5C</vt:lpwstr>
  </property>
</Properties>
</file>