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5E494">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291FB347">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065CD252">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36DAF98E">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0E963A4D">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30A60F6F">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621C608">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w:t>
                    </w:r>
                    <w:r>
                      <w:rPr>
                        <w:rFonts w:hint="eastAsia" w:ascii="宋体" w:hAnsi="宋体" w:eastAsia="宋体" w:cs="宋体"/>
                        <w:color w:val="auto"/>
                        <w:sz w:val="28"/>
                      </w:rPr>
                      <w:t>号</w:t>
                    </w:r>
                  </w:p>
                  <w:p w14:paraId="6037654C">
                    <w:pPr>
                      <w:spacing w:line="240" w:lineRule="auto"/>
                      <w:jc w:val="both"/>
                      <w:rPr>
                        <w:sz w:val="28"/>
                      </w:rPr>
                    </w:pPr>
                  </w:p>
                </w:txbxContent>
              </v:textbox>
            </v:rect>
          </v:group>
        </w:pict>
      </w:r>
    </w:p>
    <w:p w14:paraId="17A9D6E4">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highlight w:val="none"/>
          <w:lang w:val="en-US" w:eastAsia="zh-CN"/>
        </w:rPr>
        <w:t>再次调整</w:t>
      </w:r>
      <w:r>
        <w:rPr>
          <w:rFonts w:hint="eastAsia" w:ascii="方正小标宋简体" w:hAnsi="方正小标宋简体" w:eastAsia="方正小标宋简体" w:cs="方正小标宋简体"/>
          <w:sz w:val="44"/>
          <w:szCs w:val="44"/>
          <w:highlight w:val="none"/>
        </w:rPr>
        <w:t>柳</w:t>
      </w:r>
      <w:r>
        <w:rPr>
          <w:rFonts w:hint="eastAsia" w:ascii="方正小标宋简体" w:hAnsi="方正小标宋简体" w:eastAsia="方正小标宋简体" w:cs="方正小标宋简体"/>
          <w:sz w:val="44"/>
          <w:szCs w:val="44"/>
        </w:rPr>
        <w:t>州市城中区排水管网改造</w:t>
      </w:r>
    </w:p>
    <w:p w14:paraId="732DF45D">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建设工程可行性研究报告的批复</w:t>
      </w:r>
    </w:p>
    <w:p w14:paraId="2C02D440">
      <w:pPr>
        <w:pStyle w:val="9"/>
        <w:keepNext w:val="0"/>
        <w:keepLines w:val="0"/>
        <w:pageBreakBefore w:val="0"/>
        <w:widowControl w:val="0"/>
        <w:kinsoku/>
        <w:wordWrap/>
        <w:overflowPunct/>
        <w:topLinePunct w:val="0"/>
        <w:autoSpaceDE/>
        <w:autoSpaceDN/>
        <w:bidi w:val="0"/>
        <w:adjustRightInd w:val="0"/>
        <w:snapToGrid/>
        <w:spacing w:after="0" w:line="600" w:lineRule="exact"/>
        <w:jc w:val="center"/>
        <w:textAlignment w:val="baseline"/>
        <w:rPr>
          <w:rFonts w:hint="default" w:ascii="Times New Roman" w:hAnsi="Times New Roman" w:eastAsia="方正小标宋简体" w:cs="方正小标宋简体"/>
          <w:bCs/>
          <w:color w:val="auto"/>
          <w:sz w:val="44"/>
          <w:szCs w:val="44"/>
          <w:highlight w:val="none"/>
        </w:rPr>
      </w:pPr>
    </w:p>
    <w:p w14:paraId="1FA73385">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柳州市城市投资建设发展有限公司</w:t>
      </w:r>
      <w:r>
        <w:rPr>
          <w:rFonts w:hint="eastAsia" w:ascii="Times New Roman" w:hAnsi="Times New Roman" w:eastAsia="仿宋_GB2312" w:cs="仿宋_GB2312"/>
          <w:color w:val="auto"/>
          <w:sz w:val="32"/>
          <w:szCs w:val="32"/>
          <w:highlight w:val="none"/>
        </w:rPr>
        <w:t>：</w:t>
      </w:r>
    </w:p>
    <w:p w14:paraId="389D27FD">
      <w:pPr>
        <w:keepNext w:val="0"/>
        <w:keepLines w:val="0"/>
        <w:pageBreakBefore w:val="0"/>
        <w:widowControl w:val="0"/>
        <w:kinsoku/>
        <w:wordWrap/>
        <w:overflowPunct/>
        <w:topLinePunct w:val="0"/>
        <w:bidi w:val="0"/>
        <w:spacing w:line="60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sz w:val="32"/>
          <w:szCs w:val="32"/>
          <w:lang w:val="en-US"/>
        </w:rPr>
        <w:t>报来</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关于</w:t>
      </w:r>
      <w:r>
        <w:rPr>
          <w:rFonts w:hint="eastAsia" w:ascii="Times New Roman" w:hAnsi="Times New Roman" w:eastAsia="仿宋_GB2312" w:cs="仿宋_GB2312"/>
          <w:color w:val="auto"/>
          <w:sz w:val="32"/>
          <w:szCs w:val="32"/>
          <w:lang w:val="en-US" w:eastAsia="zh-CN"/>
        </w:rPr>
        <w:t>再次调整柳州</w:t>
      </w:r>
      <w:r>
        <w:rPr>
          <w:rFonts w:hint="eastAsia" w:ascii="Times New Roman" w:hAnsi="Times New Roman" w:eastAsia="仿宋_GB2312" w:cs="仿宋_GB2312"/>
          <w:sz w:val="32"/>
          <w:szCs w:val="32"/>
          <w:lang w:val="en-US" w:eastAsia="zh-CN"/>
        </w:rPr>
        <w:t>市城中区排水管网改造建设工程可行性研究报告</w:t>
      </w:r>
      <w:r>
        <w:rPr>
          <w:rFonts w:hint="eastAsia" w:ascii="Times New Roman" w:hAnsi="Times New Roman" w:eastAsia="仿宋_GB2312" w:cs="仿宋_GB2312"/>
          <w:sz w:val="32"/>
          <w:szCs w:val="32"/>
        </w:rPr>
        <w:t>的请示</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lang w:val="en-US" w:eastAsia="zh-CN"/>
        </w:rPr>
        <w:t>及相关材料已</w:t>
      </w:r>
      <w:r>
        <w:rPr>
          <w:rFonts w:hint="eastAsia" w:ascii="Times New Roman" w:hAnsi="Times New Roman" w:eastAsia="仿宋_GB2312" w:cs="仿宋_GB2312"/>
          <w:sz w:val="32"/>
          <w:szCs w:val="32"/>
          <w:lang w:val="en-US"/>
        </w:rPr>
        <w:t>收悉。</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3A7DD67B">
      <w:pPr>
        <w:keepNext w:val="0"/>
        <w:keepLines w:val="0"/>
        <w:pageBreakBefore w:val="0"/>
        <w:widowControl w:val="0"/>
        <w:kinsoku/>
        <w:wordWrap/>
        <w:overflowPunct/>
        <w:topLinePunct w:val="0"/>
        <w:bidi w:val="0"/>
        <w:spacing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我</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以城中发改基础〔2024〕1号</w:t>
      </w:r>
      <w:r>
        <w:rPr>
          <w:rFonts w:hint="eastAsia" w:eastAsia="仿宋_GB2312" w:cs="仿宋_GB2312"/>
          <w:sz w:val="32"/>
          <w:szCs w:val="32"/>
          <w:lang w:eastAsia="zh-CN"/>
        </w:rPr>
        <w:t>（以下简称</w:t>
      </w:r>
      <w:r>
        <w:rPr>
          <w:rFonts w:hint="eastAsia" w:eastAsia="仿宋_GB2312" w:cs="仿宋_GB2312"/>
          <w:sz w:val="32"/>
          <w:szCs w:val="32"/>
          <w:lang w:val="en-US" w:eastAsia="zh-CN"/>
        </w:rPr>
        <w:t>1号文</w:t>
      </w:r>
      <w:r>
        <w:rPr>
          <w:rFonts w:hint="eastAsia" w:eastAsia="仿宋_GB2312" w:cs="仿宋_GB2312"/>
          <w:sz w:val="32"/>
          <w:szCs w:val="32"/>
          <w:lang w:eastAsia="zh-CN"/>
        </w:rPr>
        <w:t>）</w:t>
      </w:r>
      <w:r>
        <w:rPr>
          <w:rFonts w:hint="eastAsia" w:ascii="Times New Roman" w:hAnsi="Times New Roman" w:eastAsia="仿宋_GB2312" w:cs="仿宋_GB2312"/>
          <w:sz w:val="32"/>
          <w:szCs w:val="32"/>
        </w:rPr>
        <w:t>批复了柳州市城中区排水管网改造建设工程可行性研究报告</w:t>
      </w:r>
      <w:r>
        <w:rPr>
          <w:rFonts w:hint="eastAsia" w:eastAsia="仿宋_GB2312" w:cs="仿宋_GB2312"/>
          <w:sz w:val="32"/>
          <w:szCs w:val="32"/>
          <w:lang w:eastAsia="zh-CN"/>
        </w:rPr>
        <w:t>。</w:t>
      </w:r>
      <w:r>
        <w:rPr>
          <w:rFonts w:hint="eastAsia" w:ascii="Times New Roman" w:hAnsi="Times New Roman" w:eastAsia="仿宋_GB2312" w:cs="仿宋_GB2312"/>
          <w:sz w:val="32"/>
          <w:szCs w:val="32"/>
          <w:lang w:val="en-US"/>
        </w:rPr>
        <w:t>因</w:t>
      </w:r>
      <w:r>
        <w:rPr>
          <w:rFonts w:hint="eastAsia" w:eastAsia="仿宋_GB2312" w:cs="仿宋_GB2312"/>
          <w:sz w:val="32"/>
          <w:szCs w:val="32"/>
          <w:lang w:val="en-US" w:eastAsia="zh-CN"/>
        </w:rPr>
        <w:t>项目业主提出</w:t>
      </w:r>
      <w:r>
        <w:rPr>
          <w:rFonts w:hint="eastAsia" w:ascii="Times New Roman" w:hAnsi="Times New Roman" w:eastAsia="仿宋_GB2312" w:cs="仿宋_GB2312"/>
          <w:sz w:val="32"/>
          <w:szCs w:val="32"/>
        </w:rPr>
        <w:t>1号</w:t>
      </w:r>
      <w:r>
        <w:rPr>
          <w:rFonts w:hint="eastAsia" w:eastAsia="仿宋_GB2312" w:cs="仿宋_GB2312"/>
          <w:sz w:val="32"/>
          <w:szCs w:val="32"/>
          <w:lang w:val="en-US" w:eastAsia="zh-CN"/>
        </w:rPr>
        <w:t>文</w:t>
      </w:r>
      <w:r>
        <w:rPr>
          <w:rFonts w:hint="eastAsia" w:ascii="Times New Roman" w:hAnsi="Times New Roman" w:eastAsia="仿宋_GB2312" w:cs="仿宋_GB2312"/>
          <w:sz w:val="32"/>
          <w:szCs w:val="32"/>
          <w:lang w:val="en-US"/>
        </w:rPr>
        <w:t>可研报告设计费计算错误，需对</w:t>
      </w:r>
      <w:r>
        <w:rPr>
          <w:rFonts w:hint="eastAsia" w:eastAsia="仿宋_GB2312" w:cs="仿宋_GB2312"/>
          <w:sz w:val="32"/>
          <w:szCs w:val="32"/>
          <w:lang w:val="en-US" w:eastAsia="zh-CN"/>
        </w:rPr>
        <w:t>1号文</w:t>
      </w:r>
      <w:r>
        <w:rPr>
          <w:rFonts w:hint="eastAsia" w:ascii="Times New Roman" w:hAnsi="Times New Roman" w:eastAsia="仿宋_GB2312" w:cs="仿宋_GB2312"/>
          <w:sz w:val="32"/>
          <w:szCs w:val="32"/>
          <w:lang w:val="en-US"/>
        </w:rPr>
        <w:t>估算的工程设计费进行调整</w:t>
      </w:r>
      <w:r>
        <w:rPr>
          <w:rFonts w:hint="eastAsia" w:eastAsia="仿宋_GB2312" w:cs="仿宋_GB2312"/>
          <w:sz w:val="32"/>
          <w:szCs w:val="32"/>
          <w:lang w:val="en-US" w:eastAsia="zh-CN"/>
        </w:rPr>
        <w:t>，我局以</w:t>
      </w:r>
      <w:r>
        <w:rPr>
          <w:rFonts w:hint="eastAsia" w:ascii="Times New Roman" w:hAnsi="Times New Roman" w:eastAsia="仿宋_GB2312" w:cs="仿宋_GB2312"/>
          <w:sz w:val="32"/>
          <w:szCs w:val="32"/>
        </w:rPr>
        <w:t>城中发改基础〔2024〕</w:t>
      </w:r>
      <w:r>
        <w:rPr>
          <w:rFonts w:hint="eastAsia" w:ascii="Times New Roman" w:hAnsi="Times New Roman" w:eastAsia="仿宋_GB2312" w:cs="仿宋_GB2312"/>
          <w:sz w:val="32"/>
          <w:szCs w:val="32"/>
          <w:lang w:val="en-US" w:eastAsia="zh-CN"/>
        </w:rPr>
        <w:t>2号</w:t>
      </w:r>
      <w:r>
        <w:rPr>
          <w:rFonts w:hint="eastAsia" w:ascii="Times New Roman" w:hAnsi="Times New Roman" w:eastAsia="仿宋_GB2312" w:cs="仿宋_GB2312"/>
          <w:sz w:val="32"/>
          <w:szCs w:val="32"/>
        </w:rPr>
        <w:t>文</w:t>
      </w:r>
      <w:r>
        <w:rPr>
          <w:rFonts w:hint="eastAsia" w:eastAsia="仿宋_GB2312" w:cs="仿宋_GB2312"/>
          <w:sz w:val="32"/>
          <w:szCs w:val="32"/>
          <w:lang w:eastAsia="zh-CN"/>
        </w:rPr>
        <w:t>（以下简称</w:t>
      </w:r>
      <w:r>
        <w:rPr>
          <w:rFonts w:hint="eastAsia" w:eastAsia="仿宋_GB2312" w:cs="仿宋_GB2312"/>
          <w:sz w:val="32"/>
          <w:szCs w:val="32"/>
          <w:lang w:val="en-US" w:eastAsia="zh-CN"/>
        </w:rPr>
        <w:t>2号文</w:t>
      </w:r>
      <w:r>
        <w:rPr>
          <w:rFonts w:hint="eastAsia" w:eastAsia="仿宋_GB2312" w:cs="仿宋_GB2312"/>
          <w:sz w:val="32"/>
          <w:szCs w:val="32"/>
          <w:lang w:eastAsia="zh-CN"/>
        </w:rPr>
        <w:t>）做了调整可行性研究报告的批复。</w:t>
      </w:r>
      <w:r>
        <w:rPr>
          <w:rFonts w:hint="eastAsia" w:eastAsia="仿宋_GB2312" w:cs="仿宋_GB2312"/>
          <w:sz w:val="32"/>
          <w:szCs w:val="32"/>
          <w:lang w:val="en-US" w:eastAsia="zh-CN"/>
        </w:rPr>
        <w:t>现</w:t>
      </w:r>
      <w:r>
        <w:rPr>
          <w:rFonts w:hint="eastAsia" w:ascii="Times New Roman" w:hAnsi="Times New Roman" w:eastAsia="仿宋_GB2312" w:cs="仿宋_GB2312"/>
          <w:sz w:val="32"/>
          <w:szCs w:val="32"/>
          <w:lang w:val="en-US"/>
        </w:rPr>
        <w:t>因</w:t>
      </w:r>
      <w:r>
        <w:rPr>
          <w:rFonts w:hint="eastAsia" w:ascii="Times New Roman" w:hAnsi="Times New Roman" w:eastAsia="仿宋_GB2312" w:cs="仿宋_GB2312"/>
          <w:sz w:val="32"/>
          <w:szCs w:val="32"/>
          <w:lang w:val="en-US" w:eastAsia="zh-CN"/>
        </w:rPr>
        <w:t>项目业主提出</w:t>
      </w:r>
      <w:r>
        <w:rPr>
          <w:rFonts w:hint="eastAsia" w:ascii="Times New Roman" w:hAnsi="Times New Roman" w:eastAsia="仿宋_GB2312" w:cs="仿宋_GB2312"/>
          <w:sz w:val="32"/>
          <w:szCs w:val="32"/>
        </w:rPr>
        <w:t>由于基础资料不断完善、编制单位充分了解现场排水需求，</w:t>
      </w:r>
      <w:r>
        <w:rPr>
          <w:rFonts w:hint="eastAsia" w:ascii="Times New Roman" w:hAnsi="Times New Roman" w:eastAsia="仿宋_GB2312" w:cs="仿宋_GB2312"/>
          <w:sz w:val="32"/>
          <w:szCs w:val="32"/>
          <w:lang w:val="en-US" w:eastAsia="zh-CN"/>
        </w:rPr>
        <w:t>需对</w:t>
      </w:r>
      <w:r>
        <w:rPr>
          <w:rFonts w:hint="eastAsia" w:ascii="Times New Roman" w:hAnsi="Times New Roman" w:eastAsia="仿宋_GB2312" w:cs="仿宋_GB2312"/>
          <w:sz w:val="32"/>
          <w:szCs w:val="32"/>
        </w:rPr>
        <w:t>本项目的建设规模、内容及总投资有所调整</w:t>
      </w:r>
      <w:r>
        <w:rPr>
          <w:rFonts w:hint="eastAsia" w:eastAsia="仿宋_GB2312" w:cs="仿宋_GB2312"/>
          <w:sz w:val="32"/>
          <w:szCs w:val="32"/>
          <w:lang w:eastAsia="zh-CN"/>
        </w:rPr>
        <w:t>，</w:t>
      </w:r>
      <w:r>
        <w:rPr>
          <w:rFonts w:hint="eastAsia" w:ascii="Times New Roman" w:hAnsi="Times New Roman" w:eastAsia="仿宋_GB2312" w:cs="仿宋_GB2312"/>
          <w:sz w:val="32"/>
          <w:szCs w:val="32"/>
        </w:rPr>
        <w:t>为加快推进项目建设，原则同意调整柳州市城中区排水管网改造建设工程可行性研究报告</w:t>
      </w:r>
      <w:r>
        <w:rPr>
          <w:rFonts w:hint="eastAsia" w:ascii="Times New Roman" w:hAnsi="Times New Roman" w:eastAsia="仿宋_GB2312" w:cs="仿宋_GB2312"/>
          <w:sz w:val="32"/>
          <w:szCs w:val="32"/>
          <w:lang w:val="en-US" w:eastAsia="zh-CN"/>
        </w:rPr>
        <w:t>相关内容</w:t>
      </w:r>
      <w:r>
        <w:rPr>
          <w:rFonts w:hint="eastAsia" w:ascii="Times New Roman" w:hAnsi="Times New Roman" w:eastAsia="仿宋_GB2312" w:cs="仿宋_GB2312"/>
          <w:sz w:val="32"/>
          <w:szCs w:val="32"/>
          <w:lang w:eastAsia="zh-CN"/>
        </w:rPr>
        <w:t>。</w:t>
      </w:r>
    </w:p>
    <w:p w14:paraId="29D57CC7">
      <w:pPr>
        <w:keepNext w:val="0"/>
        <w:keepLines w:val="0"/>
        <w:pageBreakBefore w:val="0"/>
        <w:widowControl w:val="0"/>
        <w:kinsoku/>
        <w:wordWrap/>
        <w:overflowPunct/>
        <w:topLinePunct w:val="0"/>
        <w:bidi w:val="0"/>
        <w:spacing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r>
        <w:rPr>
          <w:rFonts w:hint="eastAsia" w:ascii="Times New Roman" w:hAnsi="Times New Roman" w:eastAsia="仿宋_GB2312" w:cs="仿宋_GB2312"/>
          <w:sz w:val="32"/>
          <w:szCs w:val="32"/>
        </w:rPr>
        <w:t>2404-450202-04-01-268865</w:t>
      </w:r>
      <w:r>
        <w:rPr>
          <w:rFonts w:hint="eastAsia" w:ascii="Times New Roman" w:hAnsi="Times New Roman" w:eastAsia="仿宋_GB2312" w:cs="仿宋_GB2312"/>
          <w:color w:val="auto"/>
          <w:sz w:val="32"/>
          <w:szCs w:val="32"/>
          <w:highlight w:val="none"/>
          <w:lang w:val="en-US" w:eastAsia="zh-CN"/>
        </w:rPr>
        <w:t>。</w:t>
      </w:r>
    </w:p>
    <w:p w14:paraId="1630686F">
      <w:pPr>
        <w:pStyle w:val="2"/>
        <w:keepNext w:val="0"/>
        <w:keepLines w:val="0"/>
        <w:pageBreakBefore w:val="0"/>
        <w:widowControl w:val="0"/>
        <w:kinsoku/>
        <w:wordWrap/>
        <w:overflowPunct/>
        <w:topLinePunct w:val="0"/>
        <w:bidi w:val="0"/>
        <w:spacing w:after="0"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：项目拟建地点位于柳州市城中区东环大道（莲花大道至鹧鸪江大桥段）、蜈蚣岭路（前茅路至莲花大道段）、学院路延长线与五指山路交叉路口、河东老年公寓西侧道路。</w:t>
      </w:r>
    </w:p>
    <w:p w14:paraId="5E833A9D">
      <w:pPr>
        <w:keepNext w:val="0"/>
        <w:keepLines w:val="0"/>
        <w:pageBreakBefore w:val="0"/>
        <w:widowControl w:val="0"/>
        <w:numPr>
          <w:ilvl w:val="0"/>
          <w:numId w:val="1"/>
        </w:numPr>
        <w:kinsoku/>
        <w:wordWrap/>
        <w:overflowPunct/>
        <w:topLinePunct w:val="0"/>
        <w:bidi w:val="0"/>
        <w:adjustRightInd w:val="0"/>
        <w:snapToGrid w:val="0"/>
        <w:spacing w:line="600" w:lineRule="exact"/>
        <w:ind w:right="-334" w:rightChars="-159"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建设规模及主要内容：</w:t>
      </w:r>
      <w:r>
        <w:rPr>
          <w:rFonts w:hint="eastAsia" w:ascii="Times New Roman" w:hAnsi="Times New Roman" w:eastAsia="仿宋_GB2312" w:cs="仿宋_GB2312"/>
          <w:sz w:val="32"/>
          <w:szCs w:val="32"/>
        </w:rPr>
        <w:t>本项目位于柳州市城中区，拟对断面不足、设施老旧破损及缺少排水设施造成雨天积水的路段现有排水管网进行更新改造。改造及增设雨水管道断面d800～d2000,管道总长约1650米；破除恢复排水边沟160米，断面尺寸为BxH=600x600；破除恢复现有路面约9822平方米。主要涉及</w:t>
      </w:r>
      <w:bookmarkStart w:id="0" w:name="_GoBack"/>
      <w:bookmarkEnd w:id="0"/>
      <w:r>
        <w:rPr>
          <w:rFonts w:hint="eastAsia" w:ascii="Times New Roman" w:hAnsi="Times New Roman" w:eastAsia="仿宋_GB2312" w:cs="仿宋_GB2312"/>
          <w:sz w:val="32"/>
          <w:szCs w:val="32"/>
        </w:rPr>
        <w:t>东环大道(莲花大道至鹧鸪江大桥段)、蜈蚣岭路(前茅路至莲花大道段)市政道路下的雨水管道，学院路延长线与五指山路交叉路口、河东老年公寓西侧道路。</w:t>
      </w:r>
    </w:p>
    <w:p w14:paraId="6D3F1A6E">
      <w:pPr>
        <w:keepNext w:val="0"/>
        <w:keepLines w:val="0"/>
        <w:pageBreakBefore w:val="0"/>
        <w:widowControl w:val="0"/>
        <w:kinsoku/>
        <w:wordWrap/>
        <w:overflowPunct/>
        <w:topLinePunct w:val="0"/>
        <w:bidi w:val="0"/>
        <w:adjustRightInd w:val="0"/>
        <w:snapToGrid w:val="0"/>
        <w:spacing w:line="600" w:lineRule="exact"/>
        <w:ind w:right="-334" w:rightChars="-159"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建设内容包括排水工程，道路（破除及恢复）工程。</w:t>
      </w:r>
    </w:p>
    <w:p w14:paraId="16199322">
      <w:pPr>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五、投资规模及资金来源：项目总投资估算为3652.69万元。其中工程费用2823.42万元，工程建设其他费用497.21万元，基本预备费332.06万元。</w:t>
      </w:r>
      <w:r>
        <w:rPr>
          <w:rFonts w:hint="eastAsia" w:ascii="Times New Roman" w:hAnsi="Times New Roman" w:eastAsia="仿宋_GB2312" w:cs="仿宋_GB2312"/>
          <w:w w:val="100"/>
          <w:sz w:val="32"/>
          <w:szCs w:val="32"/>
        </w:rPr>
        <w:t>项目资金来源为</w:t>
      </w:r>
      <w:r>
        <w:rPr>
          <w:rFonts w:hint="eastAsia" w:ascii="Times New Roman" w:hAnsi="Times New Roman" w:eastAsia="仿宋_GB2312" w:cs="仿宋_GB2312"/>
          <w:sz w:val="32"/>
          <w:szCs w:val="32"/>
        </w:rPr>
        <w:t>申请上级资金和</w:t>
      </w:r>
      <w:r>
        <w:rPr>
          <w:rFonts w:hint="eastAsia" w:ascii="Times New Roman" w:hAnsi="Times New Roman" w:eastAsia="仿宋_GB2312" w:cs="仿宋_GB2312"/>
          <w:sz w:val="32"/>
          <w:szCs w:val="32"/>
          <w:lang w:val="en-US" w:eastAsia="zh-CN"/>
        </w:rPr>
        <w:t>市级</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eastAsia="zh-CN"/>
        </w:rPr>
        <w:t>配套</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14:paraId="2184C22F">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六、请据此批复，编制项目初步设计和概算。项目初步设计和概算经评估后报我局审批。每月5日前通过广西投资项目在线并联审批监管平台完成项目进展信息填报工作，直至项目实施完毕。</w:t>
      </w:r>
    </w:p>
    <w:p w14:paraId="5395218D">
      <w:pPr>
        <w:pStyle w:val="9"/>
        <w:keepNext w:val="0"/>
        <w:keepLines w:val="0"/>
        <w:pageBreakBefore w:val="0"/>
        <w:widowControl w:val="0"/>
        <w:kinsoku/>
        <w:wordWrap/>
        <w:overflowPunct/>
        <w:topLinePunct w:val="0"/>
        <w:bidi w:val="0"/>
        <w:spacing w:after="0" w:line="600" w:lineRule="exact"/>
        <w:ind w:left="0" w:leftChars="0"/>
        <w:rPr>
          <w:rFonts w:hint="eastAsia" w:ascii="Times New Roman" w:hAnsi="Times New Roman" w:eastAsia="仿宋_GB2312" w:cs="仿宋_GB2312"/>
          <w:b w:val="0"/>
          <w:bCs w:val="0"/>
          <w:i w:val="0"/>
          <w:iCs w:val="0"/>
          <w:caps w:val="0"/>
          <w:color w:val="333333"/>
          <w:spacing w:val="0"/>
          <w:sz w:val="32"/>
          <w:szCs w:val="32"/>
          <w:shd w:val="clear" w:fill="FFFFFF"/>
        </w:rPr>
      </w:pPr>
      <w:r>
        <w:rPr>
          <w:rFonts w:hint="eastAsia" w:ascii="Times New Roman" w:hAnsi="Times New Roman" w:eastAsia="仿宋_GB2312" w:cs="仿宋_GB2312"/>
          <w:color w:val="auto"/>
          <w:sz w:val="32"/>
          <w:szCs w:val="32"/>
          <w:lang w:val="en-US" w:eastAsia="zh-CN"/>
        </w:rPr>
        <w:t>七、</w:t>
      </w:r>
      <w:r>
        <w:rPr>
          <w:rFonts w:hint="eastAsia" w:ascii="Times New Roman" w:hAnsi="Times New Roman" w:eastAsia="仿宋_GB2312" w:cs="仿宋_GB2312"/>
          <w:sz w:val="32"/>
          <w:szCs w:val="32"/>
        </w:rPr>
        <w:t>城中发改基础 〔2024〕</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号</w:t>
      </w:r>
      <w:r>
        <w:rPr>
          <w:rFonts w:hint="eastAsia" w:ascii="Times New Roman" w:hAnsi="Times New Roman" w:eastAsia="仿宋_GB2312" w:cs="仿宋_GB2312"/>
          <w:b w:val="0"/>
          <w:bCs w:val="0"/>
          <w:i w:val="0"/>
          <w:iCs w:val="0"/>
          <w:caps w:val="0"/>
          <w:color w:val="333333"/>
          <w:spacing w:val="0"/>
          <w:sz w:val="32"/>
          <w:szCs w:val="32"/>
          <w:shd w:val="clear" w:fill="FFFFFF"/>
        </w:rPr>
        <w:t>文不再执行。</w:t>
      </w:r>
    </w:p>
    <w:p w14:paraId="12E32E56">
      <w:pPr>
        <w:pStyle w:val="9"/>
        <w:keepNext w:val="0"/>
        <w:keepLines w:val="0"/>
        <w:pageBreakBefore w:val="0"/>
        <w:widowControl w:val="0"/>
        <w:kinsoku/>
        <w:wordWrap/>
        <w:overflowPunct/>
        <w:topLinePunct w:val="0"/>
        <w:bidi w:val="0"/>
        <w:spacing w:after="0" w:line="600" w:lineRule="exact"/>
        <w:ind w:left="0" w:leftChars="0"/>
        <w:rPr>
          <w:rFonts w:hint="eastAsia" w:ascii="Times New Roman" w:hAnsi="Times New Roman" w:eastAsia="仿宋_GB2312" w:cs="仿宋_GB2312"/>
          <w:color w:val="auto"/>
          <w:sz w:val="32"/>
          <w:szCs w:val="32"/>
          <w:lang w:val="en-US" w:eastAsia="zh-CN"/>
        </w:rPr>
      </w:pPr>
    </w:p>
    <w:p w14:paraId="302599D3">
      <w:pPr>
        <w:keepNext w:val="0"/>
        <w:keepLines w:val="0"/>
        <w:pageBreakBefore w:val="0"/>
        <w:widowControl w:val="0"/>
        <w:kinsoku/>
        <w:wordWrap/>
        <w:overflowPunct/>
        <w:topLinePunct w:val="0"/>
        <w:bidi w:val="0"/>
        <w:spacing w:line="600" w:lineRule="exact"/>
        <w:ind w:left="0" w:leftChars="0" w:firstLine="640" w:firstLineChars="200"/>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i w:val="0"/>
          <w:iCs w:val="0"/>
          <w:caps w:val="0"/>
          <w:color w:val="auto"/>
          <w:spacing w:val="0"/>
          <w:sz w:val="32"/>
          <w:szCs w:val="32"/>
          <w:shd w:val="clear" w:fill="FFFFFF"/>
        </w:rPr>
        <w:t>附件:招标事项核准意见表</w:t>
      </w:r>
    </w:p>
    <w:p w14:paraId="26737C8F">
      <w:pPr>
        <w:keepNext w:val="0"/>
        <w:keepLines w:val="0"/>
        <w:pageBreakBefore w:val="0"/>
        <w:widowControl w:val="0"/>
        <w:kinsoku/>
        <w:wordWrap/>
        <w:overflowPunct/>
        <w:topLinePunct w:val="0"/>
        <w:bidi w:val="0"/>
        <w:spacing w:line="600" w:lineRule="exact"/>
        <w:ind w:left="0" w:leftChars="0"/>
        <w:rPr>
          <w:rFonts w:hint="eastAsia" w:ascii="Times New Roman" w:hAnsi="Times New Roman" w:eastAsia="仿宋_GB2312" w:cs="仿宋_GB2312"/>
          <w:sz w:val="32"/>
          <w:szCs w:val="32"/>
          <w:lang w:val="en-US" w:eastAsia="zh-CN"/>
        </w:rPr>
      </w:pPr>
    </w:p>
    <w:p w14:paraId="6FE737A9">
      <w:pPr>
        <w:pStyle w:val="4"/>
        <w:keepNext w:val="0"/>
        <w:keepLines w:val="0"/>
        <w:pageBreakBefore w:val="0"/>
        <w:widowControl w:val="0"/>
        <w:kinsoku/>
        <w:wordWrap/>
        <w:overflowPunct/>
        <w:topLinePunct w:val="0"/>
        <w:autoSpaceDE/>
        <w:autoSpaceDN/>
        <w:bidi w:val="0"/>
        <w:snapToGrid/>
        <w:spacing w:after="0" w:line="600" w:lineRule="exact"/>
        <w:ind w:left="0" w:leftChars="0"/>
        <w:rPr>
          <w:rFonts w:hint="eastAsia" w:ascii="Times New Roman" w:hAnsi="Times New Roman" w:eastAsia="仿宋_GB2312" w:cs="仿宋_GB2312"/>
          <w:color w:val="auto"/>
          <w:sz w:val="32"/>
          <w:szCs w:val="32"/>
          <w:lang w:val="en-US" w:eastAsia="zh-CN"/>
        </w:rPr>
      </w:pPr>
    </w:p>
    <w:p w14:paraId="2E883A13">
      <w:pPr>
        <w:pStyle w:val="5"/>
        <w:keepNext w:val="0"/>
        <w:keepLines w:val="0"/>
        <w:pageBreakBefore w:val="0"/>
        <w:widowControl w:val="0"/>
        <w:kinsoku/>
        <w:wordWrap/>
        <w:overflowPunct/>
        <w:topLinePunct w:val="0"/>
        <w:bidi w:val="0"/>
        <w:snapToGrid/>
        <w:spacing w:line="600" w:lineRule="exact"/>
        <w:ind w:left="0" w:leftChars="0"/>
        <w:rPr>
          <w:rFonts w:hint="eastAsia" w:ascii="Times New Roman" w:hAnsi="Times New Roman" w:eastAsia="仿宋_GB2312" w:cs="仿宋_GB2312"/>
          <w:color w:val="auto"/>
          <w:sz w:val="32"/>
          <w:szCs w:val="32"/>
          <w:lang w:val="en-US" w:eastAsia="zh-CN"/>
        </w:rPr>
      </w:pPr>
    </w:p>
    <w:p w14:paraId="33A0B046">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14:paraId="6AE0ADF7">
      <w:pPr>
        <w:keepNext w:val="0"/>
        <w:keepLines w:val="0"/>
        <w:pageBreakBefore w:val="0"/>
        <w:widowControl w:val="0"/>
        <w:kinsoku/>
        <w:wordWrap/>
        <w:overflowPunct/>
        <w:topLinePunct w:val="0"/>
        <w:autoSpaceDE/>
        <w:autoSpaceDN/>
        <w:bidi w:val="0"/>
        <w:adjustRightInd w:val="0"/>
        <w:snapToGrid/>
        <w:spacing w:line="600" w:lineRule="exact"/>
        <w:ind w:left="0" w:leftChars="0" w:right="0"/>
        <w:textAlignment w:val="baseline"/>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25年2</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1</w:t>
      </w:r>
      <w:r>
        <w:rPr>
          <w:rFonts w:hint="eastAsia"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日</w:t>
      </w:r>
    </w:p>
    <w:p w14:paraId="5FCBDA5E">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（此件公开发布）</w:t>
      </w:r>
    </w:p>
    <w:p w14:paraId="757C8A18">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6AFBE1E5">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4908DBD0">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0172D76">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6AF57160">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4D4ADEE4">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6103A23B">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3526182E">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0A145290">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453C5A9">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44656BD">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BCC46EC">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9E0B7D2">
      <w:pPr>
        <w:pStyle w:val="10"/>
        <w:keepNext w:val="0"/>
        <w:keepLines w:val="0"/>
        <w:pageBreakBefore w:val="0"/>
        <w:widowControl w:val="0"/>
        <w:kinsoku/>
        <w:wordWrap/>
        <w:overflowPunct/>
        <w:topLinePunct w:val="0"/>
        <w:autoSpaceDE/>
        <w:autoSpaceDN/>
        <w:bidi w:val="0"/>
        <w:snapToGrid/>
        <w:spacing w:after="0" w:line="600" w:lineRule="exact"/>
        <w:ind w:left="0" w:leftChars="0" w:firstLine="0" w:firstLineChars="0"/>
        <w:rPr>
          <w:rFonts w:hint="eastAsia" w:ascii="仿宋_GB2312" w:hAnsi="仿宋_GB2312" w:eastAsia="仿宋_GB2312" w:cs="仿宋_GB2312"/>
          <w:sz w:val="32"/>
          <w:szCs w:val="32"/>
          <w:lang w:eastAsia="zh-CN"/>
        </w:rPr>
      </w:pPr>
    </w:p>
    <w:p w14:paraId="4B6AFDDB">
      <w:pPr>
        <w:pStyle w:val="10"/>
        <w:keepNext w:val="0"/>
        <w:keepLines w:val="0"/>
        <w:pageBreakBefore w:val="0"/>
        <w:widowControl w:val="0"/>
        <w:kinsoku/>
        <w:wordWrap/>
        <w:overflowPunct/>
        <w:topLinePunct w:val="0"/>
        <w:autoSpaceDE/>
        <w:autoSpaceDN/>
        <w:bidi w:val="0"/>
        <w:snapToGrid/>
        <w:spacing w:after="0" w:line="600" w:lineRule="exact"/>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14:paraId="494B7AFF">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1A4EE044">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56DE968">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3C5517C0">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1DBB0C18">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34FC7C29">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7DC74BA">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3281F9F7">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7376B7E2">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B05E0BF">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3FA099D">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426EFAC2">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0A389AC6">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09C519A">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664EE467">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2F646486">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3C7116FD">
      <w:pPr>
        <w:pStyle w:val="10"/>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rPr>
          <w:rFonts w:hint="eastAsia" w:ascii="仿宋_GB2312" w:hAnsi="仿宋_GB2312" w:eastAsia="仿宋_GB2312" w:cs="仿宋_GB2312"/>
          <w:sz w:val="32"/>
          <w:szCs w:val="32"/>
          <w:lang w:eastAsia="zh-CN"/>
        </w:rPr>
      </w:pPr>
    </w:p>
    <w:p w14:paraId="6F19995B">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1715A72F">
      <w:pPr>
        <w:keepNext w:val="0"/>
        <w:keepLines w:val="0"/>
        <w:pageBreakBefore w:val="0"/>
        <w:widowControl w:val="0"/>
        <w:kinsoku/>
        <w:wordWrap/>
        <w:overflowPunct/>
        <w:topLinePunct w:val="0"/>
        <w:autoSpaceDE/>
        <w:autoSpaceDN/>
        <w:bidi w:val="0"/>
        <w:adjustRightInd w:val="0"/>
        <w:snapToGrid/>
        <w:spacing w:line="52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5340A5A3">
      <w:pPr>
        <w:keepNext w:val="0"/>
        <w:keepLines w:val="0"/>
        <w:pageBreakBefore w:val="0"/>
        <w:widowControl w:val="0"/>
        <w:kinsoku/>
        <w:wordWrap/>
        <w:overflowPunct/>
        <w:topLinePunct w:val="0"/>
        <w:autoSpaceDE/>
        <w:autoSpaceDN/>
        <w:bidi w:val="0"/>
        <w:adjustRightInd w:val="0"/>
        <w:snapToGrid/>
        <w:spacing w:line="52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3683E387">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6F592C88">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color w:val="auto"/>
          <w:sz w:val="28"/>
          <w:szCs w:val="28"/>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72FF89A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720" w:num="1"/>
          <w:titlePg/>
        </w:sectPr>
      </w:pPr>
    </w:p>
    <w:p w14:paraId="2FC90F4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w:t>
      </w:r>
    </w:p>
    <w:tbl>
      <w:tblPr>
        <w:tblStyle w:val="11"/>
        <w:tblW w:w="10842" w:type="dxa"/>
        <w:tblInd w:w="0" w:type="dxa"/>
        <w:tblLayout w:type="fixed"/>
        <w:tblCellMar>
          <w:top w:w="15" w:type="dxa"/>
          <w:left w:w="15" w:type="dxa"/>
          <w:bottom w:w="15" w:type="dxa"/>
          <w:right w:w="15" w:type="dxa"/>
        </w:tblCellMar>
      </w:tblPr>
      <w:tblGrid>
        <w:gridCol w:w="1373"/>
        <w:gridCol w:w="877"/>
        <w:gridCol w:w="877"/>
        <w:gridCol w:w="877"/>
        <w:gridCol w:w="877"/>
        <w:gridCol w:w="877"/>
        <w:gridCol w:w="877"/>
        <w:gridCol w:w="940"/>
        <w:gridCol w:w="1339"/>
        <w:gridCol w:w="715"/>
        <w:gridCol w:w="82"/>
        <w:gridCol w:w="1131"/>
      </w:tblGrid>
      <w:tr w14:paraId="235AFE5E">
        <w:tblPrEx>
          <w:tblCellMar>
            <w:top w:w="15" w:type="dxa"/>
            <w:left w:w="15" w:type="dxa"/>
            <w:bottom w:w="15" w:type="dxa"/>
            <w:right w:w="15" w:type="dxa"/>
          </w:tblCellMar>
        </w:tblPrEx>
        <w:trPr>
          <w:trHeight w:val="705" w:hRule="atLeast"/>
        </w:trPr>
        <w:tc>
          <w:tcPr>
            <w:tcW w:w="10842" w:type="dxa"/>
            <w:gridSpan w:val="12"/>
            <w:noWrap w:val="0"/>
            <w:vAlign w:val="center"/>
          </w:tcPr>
          <w:p w14:paraId="7CF24039">
            <w:pPr>
              <w:widowControl/>
              <w:ind w:firstLine="3080" w:firstLineChars="700"/>
              <w:jc w:val="both"/>
              <w:textAlignment w:val="center"/>
              <w:rPr>
                <w:rFonts w:eastAsia="黑体"/>
                <w:b/>
                <w:color w:val="auto"/>
                <w:sz w:val="28"/>
                <w:szCs w:val="28"/>
                <w:highlight w:val="none"/>
              </w:rPr>
            </w:pPr>
            <w:r>
              <w:rPr>
                <w:rFonts w:hint="eastAsia" w:ascii="方正小标宋简体" w:hAnsi="方正小标宋简体" w:eastAsia="方正小标宋简体" w:cs="方正小标宋简体"/>
                <w:b w:val="0"/>
                <w:bCs/>
                <w:color w:val="auto"/>
                <w:kern w:val="0"/>
                <w:sz w:val="44"/>
                <w:szCs w:val="44"/>
                <w:highlight w:val="none"/>
              </w:rPr>
              <w:t>招标事项核准意见表</w:t>
            </w:r>
          </w:p>
        </w:tc>
      </w:tr>
      <w:tr w14:paraId="38C16887">
        <w:tblPrEx>
          <w:tblCellMar>
            <w:top w:w="15" w:type="dxa"/>
            <w:left w:w="15" w:type="dxa"/>
            <w:bottom w:w="15" w:type="dxa"/>
            <w:right w:w="15" w:type="dxa"/>
          </w:tblCellMar>
        </w:tblPrEx>
        <w:trPr>
          <w:trHeight w:val="570" w:hRule="atLeast"/>
        </w:trPr>
        <w:tc>
          <w:tcPr>
            <w:tcW w:w="1373" w:type="dxa"/>
            <w:noWrap w:val="0"/>
            <w:vAlign w:val="center"/>
          </w:tcPr>
          <w:p w14:paraId="783A29FA">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项目单位：</w:t>
            </w:r>
          </w:p>
        </w:tc>
        <w:tc>
          <w:tcPr>
            <w:tcW w:w="6202" w:type="dxa"/>
            <w:gridSpan w:val="7"/>
            <w:noWrap w:val="0"/>
            <w:vAlign w:val="center"/>
          </w:tcPr>
          <w:p w14:paraId="2C94A528">
            <w:pPr>
              <w:widowControl/>
              <w:jc w:val="left"/>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柳州市城市投资建设发展有限公司</w:t>
            </w:r>
          </w:p>
        </w:tc>
        <w:tc>
          <w:tcPr>
            <w:tcW w:w="2054" w:type="dxa"/>
            <w:gridSpan w:val="2"/>
            <w:noWrap w:val="0"/>
            <w:vAlign w:val="center"/>
          </w:tcPr>
          <w:p w14:paraId="36E93F01">
            <w:pPr>
              <w:widowControl/>
              <w:jc w:val="left"/>
              <w:textAlignment w:val="center"/>
              <w:rPr>
                <w:rFonts w:hint="eastAsia" w:ascii="仿宋_GB2312" w:hAnsi="仿宋_GB2312" w:eastAsia="仿宋_GB2312" w:cs="仿宋_GB2312"/>
                <w:color w:val="auto"/>
                <w:kern w:val="0"/>
                <w:sz w:val="32"/>
                <w:szCs w:val="32"/>
                <w:highlight w:val="none"/>
              </w:rPr>
            </w:pPr>
          </w:p>
        </w:tc>
        <w:tc>
          <w:tcPr>
            <w:tcW w:w="1213" w:type="dxa"/>
            <w:gridSpan w:val="2"/>
            <w:noWrap w:val="0"/>
            <w:vAlign w:val="center"/>
          </w:tcPr>
          <w:p w14:paraId="49DA1354">
            <w:pPr>
              <w:widowControl/>
              <w:jc w:val="left"/>
              <w:textAlignment w:val="center"/>
              <w:rPr>
                <w:rFonts w:hint="eastAsia" w:ascii="仿宋_GB2312" w:hAnsi="仿宋_GB2312" w:eastAsia="仿宋_GB2312" w:cs="仿宋_GB2312"/>
                <w:color w:val="auto"/>
                <w:kern w:val="0"/>
                <w:sz w:val="32"/>
                <w:szCs w:val="32"/>
                <w:highlight w:val="none"/>
              </w:rPr>
            </w:pPr>
          </w:p>
        </w:tc>
      </w:tr>
      <w:tr w14:paraId="039A1B0E">
        <w:tblPrEx>
          <w:tblCellMar>
            <w:top w:w="15" w:type="dxa"/>
            <w:left w:w="15" w:type="dxa"/>
            <w:bottom w:w="15" w:type="dxa"/>
            <w:right w:w="15" w:type="dxa"/>
          </w:tblCellMar>
        </w:tblPrEx>
        <w:trPr>
          <w:trHeight w:val="570" w:hRule="atLeast"/>
        </w:trPr>
        <w:tc>
          <w:tcPr>
            <w:tcW w:w="1373" w:type="dxa"/>
            <w:tcBorders>
              <w:bottom w:val="nil"/>
            </w:tcBorders>
            <w:noWrap w:val="0"/>
            <w:vAlign w:val="center"/>
          </w:tcPr>
          <w:p w14:paraId="132BF1DD">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p>
        </w:tc>
        <w:tc>
          <w:tcPr>
            <w:tcW w:w="9469" w:type="dxa"/>
            <w:gridSpan w:val="11"/>
            <w:tcBorders>
              <w:bottom w:val="nil"/>
            </w:tcBorders>
            <w:noWrap w:val="0"/>
            <w:vAlign w:val="center"/>
          </w:tcPr>
          <w:p w14:paraId="0CC2BCB3">
            <w:pPr>
              <w:widowControl/>
              <w:jc w:val="left"/>
              <w:textAlignment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柳州市城中区排水管网改造建设工程</w:t>
            </w:r>
          </w:p>
        </w:tc>
      </w:tr>
      <w:tr w14:paraId="752D2719">
        <w:tblPrEx>
          <w:tblCellMar>
            <w:top w:w="15" w:type="dxa"/>
            <w:left w:w="15" w:type="dxa"/>
            <w:bottom w:w="15" w:type="dxa"/>
            <w:right w:w="15" w:type="dxa"/>
          </w:tblCellMar>
        </w:tblPrEx>
        <w:trPr>
          <w:gridAfter w:val="3"/>
          <w:wAfter w:w="1928" w:type="dxa"/>
          <w:trHeight w:val="840" w:hRule="atLeast"/>
        </w:trPr>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14:paraId="5F4B96E4">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名称</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14:paraId="0688B7CB">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招标范围</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14:paraId="3B0DBC33">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招标组织</w:t>
            </w:r>
          </w:p>
          <w:p w14:paraId="61BA39FF">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形式</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14:paraId="335A349C">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招标方式</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14:paraId="240BAAC3">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不采用招标方式</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14:paraId="671D40AD">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估算金额</w:t>
            </w:r>
          </w:p>
          <w:p w14:paraId="1A38BA3A">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（万元）</w:t>
            </w:r>
          </w:p>
        </w:tc>
      </w:tr>
      <w:tr w14:paraId="081547D1">
        <w:tblPrEx>
          <w:tblCellMar>
            <w:top w:w="15" w:type="dxa"/>
            <w:left w:w="15" w:type="dxa"/>
            <w:bottom w:w="15" w:type="dxa"/>
            <w:right w:w="15" w:type="dxa"/>
          </w:tblCellMar>
        </w:tblPrEx>
        <w:trPr>
          <w:gridAfter w:val="3"/>
          <w:wAfter w:w="1928" w:type="dxa"/>
          <w:trHeight w:val="840"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14:paraId="3427E155">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2914012E">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全部</w:t>
            </w:r>
          </w:p>
          <w:p w14:paraId="71B6FE40">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611FED17">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部分</w:t>
            </w:r>
          </w:p>
          <w:p w14:paraId="231597AA">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1659E765">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自行</w:t>
            </w:r>
          </w:p>
          <w:p w14:paraId="7CC83AC1">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9FEEBA5">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w:t>
            </w:r>
          </w:p>
          <w:p w14:paraId="36A384FF">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54B5B7F3">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公开</w:t>
            </w:r>
          </w:p>
          <w:p w14:paraId="46AFF405">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0810BA94">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邀请</w:t>
            </w:r>
          </w:p>
          <w:p w14:paraId="76A0C658">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17189D53">
            <w:pPr>
              <w:jc w:val="center"/>
              <w:rPr>
                <w:rFonts w:hint="eastAsia" w:ascii="宋体" w:hAnsi="宋体" w:eastAsia="宋体" w:cs="宋体"/>
                <w:color w:val="auto"/>
                <w:sz w:val="28"/>
                <w:szCs w:val="28"/>
                <w:highlight w:val="none"/>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14:paraId="124C19ED">
            <w:pPr>
              <w:widowControl/>
              <w:jc w:val="center"/>
              <w:textAlignment w:val="center"/>
              <w:rPr>
                <w:rFonts w:hint="eastAsia" w:ascii="宋体" w:hAnsi="宋体" w:eastAsia="宋体" w:cs="宋体"/>
                <w:color w:val="auto"/>
                <w:kern w:val="0"/>
                <w:sz w:val="28"/>
                <w:szCs w:val="28"/>
                <w:highlight w:val="none"/>
              </w:rPr>
            </w:pPr>
          </w:p>
        </w:tc>
      </w:tr>
      <w:tr w14:paraId="434035EE">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14:paraId="583D495D">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1CC77E8">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2ACFDF1F">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79597620">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4630F5B5">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393AEFB7">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024F12B">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E79DBFB">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9E63D25">
            <w:pPr>
              <w:widowControl/>
              <w:jc w:val="center"/>
              <w:textAlignment w:val="center"/>
              <w:rPr>
                <w:rFonts w:hint="default" w:ascii="Times New Roman" w:hAnsi="Times New Roman" w:eastAsia="宋体"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105.91</w:t>
            </w:r>
          </w:p>
        </w:tc>
      </w:tr>
      <w:tr w14:paraId="223B9B2C">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14:paraId="27CDD37D">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23F6580D">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0F97187A">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1822B3F3">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131A157F">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5056878C">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443E821A">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13BB97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788398B">
            <w:pPr>
              <w:keepNext w:val="0"/>
              <w:keepLines w:val="0"/>
              <w:pageBreakBefore w:val="0"/>
              <w:widowControl/>
              <w:suppressLineNumbers w:val="0"/>
              <w:kinsoku/>
              <w:overflowPunct/>
              <w:topLinePunct w:val="0"/>
              <w:bidi w:val="0"/>
              <w:spacing w:line="360" w:lineRule="auto"/>
              <w:jc w:val="center"/>
              <w:rPr>
                <w:rFonts w:hint="default" w:ascii="Times New Roman" w:hAnsi="Times New Roman" w:eastAsia="仿宋" w:cs="Times New Roman"/>
                <w:color w:val="auto"/>
                <w:sz w:val="28"/>
                <w:szCs w:val="28"/>
                <w:lang w:val="en-US" w:eastAsia="zh-CN" w:bidi="ar-SA"/>
              </w:rPr>
            </w:pPr>
            <w:r>
              <w:rPr>
                <w:rFonts w:hint="eastAsia" w:cs="Times New Roman"/>
                <w:b w:val="0"/>
                <w:color w:val="000000"/>
                <w:sz w:val="28"/>
                <w:szCs w:val="28"/>
                <w:lang w:val="en-US" w:eastAsia="zh-CN"/>
              </w:rPr>
              <w:t>59.09</w:t>
            </w:r>
          </w:p>
        </w:tc>
      </w:tr>
      <w:tr w14:paraId="36AC5F39">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14:paraId="0BEE7CC0">
            <w:pPr>
              <w:widowControl/>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勘察</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492B35EF">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4A1FBE09">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154D9418">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2D7755CF">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2CBA866A">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47819231">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1470BF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73E5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b w:val="0"/>
                <w:color w:val="000000"/>
                <w:sz w:val="28"/>
                <w:szCs w:val="28"/>
                <w:lang w:val="en-US" w:eastAsia="zh-CN"/>
              </w:rPr>
              <w:t>63.53</w:t>
            </w:r>
          </w:p>
        </w:tc>
      </w:tr>
      <w:tr w14:paraId="3156F9F1">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14:paraId="7E87C1EF">
            <w:pPr>
              <w:widowControl/>
              <w:jc w:val="center"/>
              <w:textAlignment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建筑及安装</w:t>
            </w:r>
            <w:r>
              <w:rPr>
                <w:rFonts w:hint="eastAsia" w:ascii="宋体" w:hAnsi="宋体" w:eastAsia="宋体" w:cs="宋体"/>
                <w:color w:val="auto"/>
                <w:kern w:val="0"/>
                <w:sz w:val="28"/>
                <w:szCs w:val="28"/>
                <w:highlight w:val="none"/>
              </w:rPr>
              <w:t>工程</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50A7DC2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316874DB">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442465A1">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6AA931C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DFEA76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57590A44">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F3373D7">
            <w:pPr>
              <w:jc w:val="center"/>
              <w:rPr>
                <w:rFonts w:hint="eastAsia" w:ascii="宋体" w:hAnsi="宋体" w:eastAsia="宋体" w:cs="宋体"/>
                <w:color w:val="auto"/>
                <w:kern w:val="0"/>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2CBD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color w:val="000000"/>
                <w:sz w:val="28"/>
                <w:szCs w:val="28"/>
                <w:lang w:val="en-US" w:eastAsia="zh-CN"/>
              </w:rPr>
              <w:t>2823.42</w:t>
            </w:r>
          </w:p>
        </w:tc>
      </w:tr>
      <w:tr w14:paraId="11ACD8D1">
        <w:tblPrEx>
          <w:tblCellMar>
            <w:top w:w="15" w:type="dxa"/>
            <w:left w:w="15" w:type="dxa"/>
            <w:bottom w:w="15" w:type="dxa"/>
            <w:right w:w="15" w:type="dxa"/>
          </w:tblCellMar>
        </w:tblPrEx>
        <w:trPr>
          <w:gridAfter w:val="3"/>
          <w:wAfter w:w="1928" w:type="dxa"/>
          <w:trHeight w:val="525" w:hRule="atLeast"/>
        </w:trPr>
        <w:tc>
          <w:tcPr>
            <w:tcW w:w="3127" w:type="dxa"/>
            <w:gridSpan w:val="3"/>
            <w:tcBorders>
              <w:top w:val="single" w:color="auto" w:sz="4" w:space="0"/>
              <w:left w:val="single" w:color="000000" w:sz="4" w:space="0"/>
            </w:tcBorders>
            <w:noWrap w:val="0"/>
            <w:vAlign w:val="center"/>
          </w:tcPr>
          <w:p w14:paraId="18018D89">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审批部门核准意见说明：</w:t>
            </w:r>
          </w:p>
        </w:tc>
        <w:tc>
          <w:tcPr>
            <w:tcW w:w="877" w:type="dxa"/>
            <w:tcBorders>
              <w:top w:val="single" w:color="auto" w:sz="4" w:space="0"/>
            </w:tcBorders>
            <w:noWrap w:val="0"/>
            <w:vAlign w:val="center"/>
          </w:tcPr>
          <w:p w14:paraId="6BFF67B0">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14:paraId="50BE612D">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14:paraId="284278C6">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14:paraId="3EC1ACC3">
            <w:pPr>
              <w:jc w:val="left"/>
              <w:rPr>
                <w:rFonts w:hint="eastAsia" w:ascii="宋体" w:hAnsi="宋体" w:eastAsia="宋体" w:cs="宋体"/>
                <w:color w:val="auto"/>
                <w:sz w:val="28"/>
                <w:szCs w:val="28"/>
                <w:highlight w:val="none"/>
              </w:rPr>
            </w:pPr>
          </w:p>
        </w:tc>
        <w:tc>
          <w:tcPr>
            <w:tcW w:w="940" w:type="dxa"/>
            <w:tcBorders>
              <w:top w:val="single" w:color="auto" w:sz="4" w:space="0"/>
            </w:tcBorders>
            <w:noWrap w:val="0"/>
            <w:vAlign w:val="center"/>
          </w:tcPr>
          <w:p w14:paraId="205CC6D8">
            <w:pPr>
              <w:jc w:val="left"/>
              <w:rPr>
                <w:rFonts w:hint="eastAsia" w:ascii="宋体" w:hAnsi="宋体" w:eastAsia="宋体" w:cs="宋体"/>
                <w:color w:val="auto"/>
                <w:sz w:val="28"/>
                <w:szCs w:val="28"/>
                <w:highlight w:val="none"/>
              </w:rPr>
            </w:pPr>
          </w:p>
        </w:tc>
        <w:tc>
          <w:tcPr>
            <w:tcW w:w="1339" w:type="dxa"/>
            <w:tcBorders>
              <w:top w:val="single" w:color="auto" w:sz="4" w:space="0"/>
              <w:right w:val="single" w:color="auto" w:sz="4" w:space="0"/>
            </w:tcBorders>
            <w:noWrap w:val="0"/>
            <w:vAlign w:val="center"/>
          </w:tcPr>
          <w:p w14:paraId="725BCFF8">
            <w:pPr>
              <w:jc w:val="left"/>
              <w:rPr>
                <w:rFonts w:hint="eastAsia" w:ascii="宋体" w:hAnsi="宋体" w:eastAsia="宋体" w:cs="宋体"/>
                <w:color w:val="auto"/>
                <w:sz w:val="28"/>
                <w:szCs w:val="28"/>
                <w:highlight w:val="none"/>
              </w:rPr>
            </w:pPr>
          </w:p>
        </w:tc>
      </w:tr>
      <w:tr w14:paraId="096E10EF">
        <w:tblPrEx>
          <w:tblCellMar>
            <w:top w:w="15" w:type="dxa"/>
            <w:left w:w="15" w:type="dxa"/>
            <w:bottom w:w="15" w:type="dxa"/>
            <w:right w:w="15" w:type="dxa"/>
          </w:tblCellMar>
        </w:tblPrEx>
        <w:trPr>
          <w:gridAfter w:val="3"/>
          <w:wAfter w:w="1928" w:type="dxa"/>
          <w:trHeight w:val="510" w:hRule="atLeast"/>
        </w:trPr>
        <w:tc>
          <w:tcPr>
            <w:tcW w:w="8914" w:type="dxa"/>
            <w:gridSpan w:val="9"/>
            <w:vMerge w:val="restart"/>
            <w:tcBorders>
              <w:left w:val="single" w:color="000000" w:sz="4" w:space="0"/>
              <w:right w:val="single" w:color="auto" w:sz="4" w:space="0"/>
            </w:tcBorders>
            <w:noWrap w:val="0"/>
            <w:vAlign w:val="center"/>
          </w:tcPr>
          <w:p w14:paraId="46AB42A4">
            <w:pPr>
              <w:pStyle w:val="2"/>
              <w:ind w:firstLine="560" w:firstLineChars="200"/>
              <w:rPr>
                <w:rFonts w:hint="eastAsia" w:ascii="宋体" w:hAnsi="宋体" w:eastAsia="宋体" w:cs="宋体"/>
                <w:color w:val="auto"/>
                <w:sz w:val="28"/>
                <w:szCs w:val="28"/>
                <w:highlight w:val="none"/>
              </w:rPr>
            </w:pPr>
            <w:r>
              <w:rPr>
                <w:rFonts w:hint="eastAsia" w:ascii="宋体" w:hAnsi="宋体" w:eastAsia="宋体" w:cs="宋体"/>
                <w:i w:val="0"/>
                <w:color w:val="auto"/>
                <w:kern w:val="0"/>
                <w:sz w:val="28"/>
                <w:szCs w:val="28"/>
                <w:highlight w:val="none"/>
                <w:u w:val="none"/>
                <w:lang w:val="en-US" w:eastAsia="zh-CN" w:bidi="ar"/>
              </w:rPr>
              <w:t>根据《中华人民共和国招标投标法》</w:t>
            </w:r>
            <w:r>
              <w:rPr>
                <w:rFonts w:hint="eastAsia" w:ascii="宋体" w:hAnsi="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《中华人民共和国招标投标法实施条例》和《广西壮族自治区实施&lt;中华人民共和国招标投标法&gt;办法》，核准该项工程建设的招标方案。</w:t>
            </w:r>
          </w:p>
        </w:tc>
      </w:tr>
      <w:tr w14:paraId="53C7C95E">
        <w:tblPrEx>
          <w:tblCellMar>
            <w:top w:w="15" w:type="dxa"/>
            <w:left w:w="15" w:type="dxa"/>
            <w:bottom w:w="15" w:type="dxa"/>
            <w:right w:w="15" w:type="dxa"/>
          </w:tblCellMar>
        </w:tblPrEx>
        <w:trPr>
          <w:gridAfter w:val="3"/>
          <w:wAfter w:w="1928" w:type="dxa"/>
          <w:trHeight w:val="510" w:hRule="atLeast"/>
        </w:trPr>
        <w:tc>
          <w:tcPr>
            <w:tcW w:w="8914" w:type="dxa"/>
            <w:gridSpan w:val="9"/>
            <w:vMerge w:val="continue"/>
            <w:tcBorders>
              <w:left w:val="single" w:color="000000" w:sz="4" w:space="0"/>
              <w:right w:val="single" w:color="auto" w:sz="4" w:space="0"/>
            </w:tcBorders>
            <w:noWrap w:val="0"/>
            <w:vAlign w:val="center"/>
          </w:tcPr>
          <w:p w14:paraId="04F12E86">
            <w:pPr>
              <w:jc w:val="left"/>
              <w:rPr>
                <w:rFonts w:hint="eastAsia" w:ascii="宋体" w:hAnsi="宋体" w:eastAsia="宋体" w:cs="宋体"/>
                <w:color w:val="auto"/>
                <w:sz w:val="28"/>
                <w:szCs w:val="28"/>
                <w:highlight w:val="none"/>
              </w:rPr>
            </w:pPr>
          </w:p>
        </w:tc>
      </w:tr>
      <w:tr w14:paraId="510DAA2F">
        <w:tblPrEx>
          <w:tblCellMar>
            <w:top w:w="15" w:type="dxa"/>
            <w:left w:w="15" w:type="dxa"/>
            <w:bottom w:w="15" w:type="dxa"/>
            <w:right w:w="15" w:type="dxa"/>
          </w:tblCellMar>
        </w:tblPrEx>
        <w:trPr>
          <w:gridAfter w:val="3"/>
          <w:wAfter w:w="1928" w:type="dxa"/>
          <w:trHeight w:val="840" w:hRule="atLeast"/>
        </w:trPr>
        <w:tc>
          <w:tcPr>
            <w:tcW w:w="8914" w:type="dxa"/>
            <w:gridSpan w:val="9"/>
            <w:vMerge w:val="continue"/>
            <w:tcBorders>
              <w:left w:val="single" w:color="000000" w:sz="4" w:space="0"/>
              <w:right w:val="single" w:color="auto" w:sz="4" w:space="0"/>
            </w:tcBorders>
            <w:noWrap w:val="0"/>
            <w:vAlign w:val="center"/>
          </w:tcPr>
          <w:p w14:paraId="39DACB3D">
            <w:pPr>
              <w:jc w:val="left"/>
              <w:rPr>
                <w:rFonts w:hint="eastAsia" w:ascii="宋体" w:hAnsi="宋体" w:eastAsia="宋体" w:cs="宋体"/>
                <w:color w:val="auto"/>
                <w:sz w:val="28"/>
                <w:szCs w:val="28"/>
                <w:highlight w:val="none"/>
              </w:rPr>
            </w:pPr>
          </w:p>
        </w:tc>
      </w:tr>
      <w:tr w14:paraId="6A60D85A">
        <w:tblPrEx>
          <w:tblCellMar>
            <w:top w:w="15" w:type="dxa"/>
            <w:left w:w="15" w:type="dxa"/>
            <w:bottom w:w="15" w:type="dxa"/>
            <w:right w:w="15" w:type="dxa"/>
          </w:tblCellMar>
        </w:tblPrEx>
        <w:trPr>
          <w:gridAfter w:val="3"/>
          <w:wAfter w:w="1928" w:type="dxa"/>
          <w:trHeight w:val="420" w:hRule="atLeast"/>
        </w:trPr>
        <w:tc>
          <w:tcPr>
            <w:tcW w:w="1373" w:type="dxa"/>
            <w:tcBorders>
              <w:left w:val="single" w:color="000000" w:sz="4" w:space="0"/>
            </w:tcBorders>
            <w:noWrap w:val="0"/>
            <w:vAlign w:val="center"/>
          </w:tcPr>
          <w:p w14:paraId="30618A74">
            <w:pPr>
              <w:rPr>
                <w:rFonts w:hint="eastAsia" w:ascii="宋体" w:hAnsi="宋体" w:eastAsia="宋体" w:cs="宋体"/>
                <w:color w:val="auto"/>
                <w:sz w:val="28"/>
                <w:szCs w:val="28"/>
                <w:highlight w:val="none"/>
              </w:rPr>
            </w:pPr>
          </w:p>
        </w:tc>
        <w:tc>
          <w:tcPr>
            <w:tcW w:w="877" w:type="dxa"/>
            <w:noWrap w:val="0"/>
            <w:vAlign w:val="center"/>
          </w:tcPr>
          <w:p w14:paraId="067C9D6F">
            <w:pPr>
              <w:rPr>
                <w:rFonts w:hint="eastAsia" w:ascii="宋体" w:hAnsi="宋体" w:eastAsia="宋体" w:cs="宋体"/>
                <w:color w:val="auto"/>
                <w:sz w:val="28"/>
                <w:szCs w:val="28"/>
                <w:highlight w:val="none"/>
              </w:rPr>
            </w:pPr>
          </w:p>
        </w:tc>
        <w:tc>
          <w:tcPr>
            <w:tcW w:w="1754" w:type="dxa"/>
            <w:gridSpan w:val="2"/>
            <w:noWrap w:val="0"/>
            <w:vAlign w:val="center"/>
          </w:tcPr>
          <w:p w14:paraId="319DA353">
            <w:pPr>
              <w:rPr>
                <w:rFonts w:hint="eastAsia" w:ascii="宋体" w:hAnsi="宋体" w:eastAsia="宋体" w:cs="宋体"/>
                <w:color w:val="auto"/>
                <w:sz w:val="28"/>
                <w:szCs w:val="28"/>
                <w:highlight w:val="none"/>
              </w:rPr>
            </w:pPr>
          </w:p>
        </w:tc>
        <w:tc>
          <w:tcPr>
            <w:tcW w:w="1754" w:type="dxa"/>
            <w:gridSpan w:val="2"/>
            <w:noWrap w:val="0"/>
            <w:vAlign w:val="center"/>
          </w:tcPr>
          <w:p w14:paraId="2D4D0E3B">
            <w:pPr>
              <w:rPr>
                <w:rFonts w:hint="eastAsia" w:ascii="宋体" w:hAnsi="宋体" w:eastAsia="宋体" w:cs="宋体"/>
                <w:color w:val="auto"/>
                <w:sz w:val="28"/>
                <w:szCs w:val="28"/>
                <w:highlight w:val="none"/>
              </w:rPr>
            </w:pPr>
          </w:p>
        </w:tc>
        <w:tc>
          <w:tcPr>
            <w:tcW w:w="3156" w:type="dxa"/>
            <w:gridSpan w:val="3"/>
            <w:tcBorders>
              <w:right w:val="single" w:color="auto" w:sz="4" w:space="0"/>
            </w:tcBorders>
            <w:noWrap w:val="0"/>
            <w:vAlign w:val="bottom"/>
          </w:tcPr>
          <w:p w14:paraId="240FD862">
            <w:pPr>
              <w:widowControl/>
              <w:jc w:val="center"/>
              <w:textAlignment w:val="bottom"/>
              <w:rPr>
                <w:rFonts w:hint="eastAsia" w:ascii="宋体" w:hAnsi="宋体" w:eastAsia="宋体" w:cs="宋体"/>
                <w:color w:val="auto"/>
                <w:sz w:val="28"/>
                <w:szCs w:val="28"/>
                <w:highlight w:val="none"/>
              </w:rPr>
            </w:pPr>
          </w:p>
        </w:tc>
      </w:tr>
      <w:tr w14:paraId="5474065A">
        <w:tblPrEx>
          <w:tblCellMar>
            <w:top w:w="15" w:type="dxa"/>
            <w:left w:w="15" w:type="dxa"/>
            <w:bottom w:w="15" w:type="dxa"/>
            <w:right w:w="15" w:type="dxa"/>
          </w:tblCellMar>
        </w:tblPrEx>
        <w:trPr>
          <w:gridAfter w:val="1"/>
          <w:wAfter w:w="1131" w:type="dxa"/>
          <w:trHeight w:val="181" w:hRule="atLeast"/>
        </w:trPr>
        <w:tc>
          <w:tcPr>
            <w:tcW w:w="1373" w:type="dxa"/>
            <w:tcBorders>
              <w:left w:val="single" w:color="000000" w:sz="4" w:space="0"/>
            </w:tcBorders>
            <w:noWrap w:val="0"/>
            <w:vAlign w:val="center"/>
          </w:tcPr>
          <w:p w14:paraId="360202C1">
            <w:pPr>
              <w:rPr>
                <w:rFonts w:hint="eastAsia" w:ascii="宋体" w:hAnsi="宋体" w:eastAsia="宋体" w:cs="宋体"/>
                <w:color w:val="auto"/>
                <w:sz w:val="28"/>
                <w:szCs w:val="28"/>
                <w:highlight w:val="none"/>
              </w:rPr>
            </w:pPr>
          </w:p>
        </w:tc>
        <w:tc>
          <w:tcPr>
            <w:tcW w:w="877" w:type="dxa"/>
            <w:noWrap w:val="0"/>
            <w:vAlign w:val="center"/>
          </w:tcPr>
          <w:p w14:paraId="2DDD28C1">
            <w:pPr>
              <w:rPr>
                <w:rFonts w:hint="eastAsia" w:ascii="宋体" w:hAnsi="宋体" w:eastAsia="宋体" w:cs="宋体"/>
                <w:color w:val="auto"/>
                <w:sz w:val="28"/>
                <w:szCs w:val="28"/>
                <w:highlight w:val="none"/>
              </w:rPr>
            </w:pPr>
          </w:p>
        </w:tc>
        <w:tc>
          <w:tcPr>
            <w:tcW w:w="1754" w:type="dxa"/>
            <w:gridSpan w:val="2"/>
            <w:noWrap w:val="0"/>
            <w:vAlign w:val="center"/>
          </w:tcPr>
          <w:p w14:paraId="4B9E88D4">
            <w:pPr>
              <w:rPr>
                <w:rFonts w:hint="eastAsia" w:ascii="宋体" w:hAnsi="宋体" w:eastAsia="宋体" w:cs="宋体"/>
                <w:color w:val="auto"/>
                <w:sz w:val="28"/>
                <w:szCs w:val="28"/>
                <w:highlight w:val="none"/>
              </w:rPr>
            </w:pPr>
          </w:p>
        </w:tc>
        <w:tc>
          <w:tcPr>
            <w:tcW w:w="1754" w:type="dxa"/>
            <w:gridSpan w:val="2"/>
            <w:noWrap w:val="0"/>
            <w:vAlign w:val="center"/>
          </w:tcPr>
          <w:p w14:paraId="66059140">
            <w:pPr>
              <w:rPr>
                <w:rFonts w:hint="eastAsia" w:ascii="宋体" w:hAnsi="宋体" w:eastAsia="宋体" w:cs="宋体"/>
                <w:color w:val="auto"/>
                <w:sz w:val="28"/>
                <w:szCs w:val="28"/>
                <w:highlight w:val="none"/>
              </w:rPr>
            </w:pPr>
          </w:p>
        </w:tc>
        <w:tc>
          <w:tcPr>
            <w:tcW w:w="877" w:type="dxa"/>
            <w:noWrap w:val="0"/>
            <w:vAlign w:val="center"/>
          </w:tcPr>
          <w:p w14:paraId="753A7772">
            <w:pPr>
              <w:rPr>
                <w:rFonts w:hint="eastAsia" w:ascii="宋体" w:hAnsi="宋体" w:eastAsia="宋体" w:cs="宋体"/>
                <w:color w:val="auto"/>
                <w:sz w:val="28"/>
                <w:szCs w:val="28"/>
                <w:highlight w:val="none"/>
              </w:rPr>
            </w:pPr>
          </w:p>
        </w:tc>
        <w:tc>
          <w:tcPr>
            <w:tcW w:w="940" w:type="dxa"/>
            <w:noWrap w:val="0"/>
            <w:vAlign w:val="center"/>
          </w:tcPr>
          <w:p w14:paraId="1D7A5298">
            <w:pPr>
              <w:rPr>
                <w:rFonts w:hint="eastAsia" w:ascii="宋体" w:hAnsi="宋体" w:eastAsia="宋体" w:cs="宋体"/>
                <w:color w:val="auto"/>
                <w:sz w:val="28"/>
                <w:szCs w:val="28"/>
                <w:highlight w:val="none"/>
              </w:rPr>
            </w:pPr>
          </w:p>
        </w:tc>
        <w:tc>
          <w:tcPr>
            <w:tcW w:w="1339" w:type="dxa"/>
            <w:tcBorders>
              <w:right w:val="single" w:color="auto" w:sz="4" w:space="0"/>
            </w:tcBorders>
            <w:noWrap w:val="0"/>
            <w:vAlign w:val="center"/>
          </w:tcPr>
          <w:p w14:paraId="0507CEB7">
            <w:pPr>
              <w:rPr>
                <w:rFonts w:hint="eastAsia" w:ascii="宋体" w:hAnsi="宋体" w:eastAsia="宋体" w:cs="宋体"/>
                <w:color w:val="auto"/>
                <w:sz w:val="28"/>
                <w:szCs w:val="28"/>
                <w:highlight w:val="none"/>
              </w:rPr>
            </w:pPr>
          </w:p>
        </w:tc>
        <w:tc>
          <w:tcPr>
            <w:tcW w:w="715" w:type="dxa"/>
            <w:tcBorders>
              <w:left w:val="single" w:color="auto" w:sz="4" w:space="0"/>
            </w:tcBorders>
            <w:noWrap w:val="0"/>
            <w:vAlign w:val="center"/>
          </w:tcPr>
          <w:p w14:paraId="38D80C2A">
            <w:pPr>
              <w:rPr>
                <w:color w:val="auto"/>
                <w:sz w:val="24"/>
                <w:szCs w:val="24"/>
                <w:highlight w:val="none"/>
              </w:rPr>
            </w:pPr>
          </w:p>
        </w:tc>
        <w:tc>
          <w:tcPr>
            <w:tcW w:w="82" w:type="dxa"/>
            <w:noWrap w:val="0"/>
            <w:vAlign w:val="center"/>
          </w:tcPr>
          <w:p w14:paraId="15C3E04F">
            <w:pPr>
              <w:rPr>
                <w:color w:val="auto"/>
                <w:sz w:val="24"/>
                <w:szCs w:val="24"/>
                <w:highlight w:val="none"/>
              </w:rPr>
            </w:pPr>
          </w:p>
        </w:tc>
      </w:tr>
      <w:tr w14:paraId="7ABCEDFF">
        <w:tblPrEx>
          <w:tblCellMar>
            <w:top w:w="15" w:type="dxa"/>
            <w:left w:w="15" w:type="dxa"/>
            <w:bottom w:w="15" w:type="dxa"/>
            <w:right w:w="15" w:type="dxa"/>
          </w:tblCellMar>
        </w:tblPrEx>
        <w:trPr>
          <w:gridAfter w:val="3"/>
          <w:wAfter w:w="1928" w:type="dxa"/>
          <w:trHeight w:val="935" w:hRule="atLeast"/>
        </w:trPr>
        <w:tc>
          <w:tcPr>
            <w:tcW w:w="1373" w:type="dxa"/>
            <w:tcBorders>
              <w:left w:val="single" w:color="000000" w:sz="4" w:space="0"/>
              <w:bottom w:val="single" w:color="auto" w:sz="4" w:space="0"/>
            </w:tcBorders>
            <w:noWrap w:val="0"/>
            <w:vAlign w:val="center"/>
          </w:tcPr>
          <w:p w14:paraId="242613A1">
            <w:pPr>
              <w:rPr>
                <w:rFonts w:hint="eastAsia" w:ascii="宋体" w:hAnsi="宋体" w:eastAsia="宋体" w:cs="宋体"/>
                <w:color w:val="auto"/>
                <w:sz w:val="28"/>
                <w:szCs w:val="28"/>
                <w:highlight w:val="none"/>
              </w:rPr>
            </w:pPr>
          </w:p>
        </w:tc>
        <w:tc>
          <w:tcPr>
            <w:tcW w:w="877" w:type="dxa"/>
            <w:tcBorders>
              <w:bottom w:val="single" w:color="auto" w:sz="4" w:space="0"/>
            </w:tcBorders>
            <w:noWrap w:val="0"/>
            <w:vAlign w:val="center"/>
          </w:tcPr>
          <w:p w14:paraId="0FB1CFD0">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14:paraId="0CDD8338">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14:paraId="5706A2CB">
            <w:pPr>
              <w:rPr>
                <w:rFonts w:hint="eastAsia" w:ascii="宋体" w:hAnsi="宋体" w:eastAsia="宋体" w:cs="宋体"/>
                <w:color w:val="auto"/>
                <w:sz w:val="28"/>
                <w:szCs w:val="28"/>
                <w:highlight w:val="none"/>
              </w:rPr>
            </w:pPr>
          </w:p>
        </w:tc>
        <w:tc>
          <w:tcPr>
            <w:tcW w:w="3156" w:type="dxa"/>
            <w:gridSpan w:val="3"/>
            <w:tcBorders>
              <w:bottom w:val="single" w:color="auto" w:sz="4" w:space="0"/>
              <w:right w:val="single" w:color="auto" w:sz="4" w:space="0"/>
            </w:tcBorders>
            <w:noWrap w:val="0"/>
            <w:vAlign w:val="center"/>
          </w:tcPr>
          <w:p w14:paraId="3DDFDE3B">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审批部门盖章</w:t>
            </w:r>
          </w:p>
          <w:p w14:paraId="762C9A87">
            <w:pPr>
              <w:pStyle w:val="2"/>
              <w:rPr>
                <w:rFonts w:hint="eastAsia"/>
                <w:color w:val="auto"/>
                <w:highlight w:val="none"/>
              </w:rPr>
            </w:pPr>
          </w:p>
          <w:p w14:paraId="05FD79CC">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202</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14</w:t>
            </w:r>
            <w:r>
              <w:rPr>
                <w:rFonts w:hint="eastAsia" w:ascii="宋体" w:hAnsi="宋体" w:eastAsia="宋体" w:cs="宋体"/>
                <w:color w:val="auto"/>
                <w:kern w:val="0"/>
                <w:sz w:val="28"/>
                <w:szCs w:val="28"/>
                <w:highlight w:val="none"/>
              </w:rPr>
              <w:t>日</w:t>
            </w:r>
          </w:p>
        </w:tc>
      </w:tr>
    </w:tbl>
    <w:p w14:paraId="011D811C">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7B59">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14:paraId="16BAC3D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14:paraId="7B0FD8C4">
                <w:pPr>
                  <w:pStyle w:val="6"/>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1DAF">
    <w:pPr>
      <w:pStyle w:val="6"/>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14:paraId="5BAC15E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BC3B">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14:paraId="6CDB0BD8">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0DED">
    <w:pPr>
      <w:pStyle w:val="6"/>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14:paraId="7DDFA3C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14:paraId="2FB0EBF1">
                <w:pPr>
                  <w:pStyle w:val="6"/>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21C2">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039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92B4"/>
    <w:multiLevelType w:val="singleLevel"/>
    <w:tmpl w:val="E4CE92B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B714CA"/>
    <w:rsid w:val="07DC6674"/>
    <w:rsid w:val="08362F4D"/>
    <w:rsid w:val="0A910858"/>
    <w:rsid w:val="0A9B1F4D"/>
    <w:rsid w:val="0B27504B"/>
    <w:rsid w:val="0FC0413F"/>
    <w:rsid w:val="10185E91"/>
    <w:rsid w:val="12151B0C"/>
    <w:rsid w:val="13D515CD"/>
    <w:rsid w:val="155C643E"/>
    <w:rsid w:val="1560212A"/>
    <w:rsid w:val="156F0D07"/>
    <w:rsid w:val="17746684"/>
    <w:rsid w:val="18CB4268"/>
    <w:rsid w:val="1C233926"/>
    <w:rsid w:val="1C97074E"/>
    <w:rsid w:val="1DCB56F8"/>
    <w:rsid w:val="1FC43A2D"/>
    <w:rsid w:val="210A76FE"/>
    <w:rsid w:val="25A82B55"/>
    <w:rsid w:val="269D47D5"/>
    <w:rsid w:val="27482766"/>
    <w:rsid w:val="28057687"/>
    <w:rsid w:val="28236631"/>
    <w:rsid w:val="284E569A"/>
    <w:rsid w:val="29E22DD0"/>
    <w:rsid w:val="29E86206"/>
    <w:rsid w:val="2A1B5F4E"/>
    <w:rsid w:val="2B0D7846"/>
    <w:rsid w:val="2C50167C"/>
    <w:rsid w:val="2E7168D5"/>
    <w:rsid w:val="31AC6D17"/>
    <w:rsid w:val="31B23A98"/>
    <w:rsid w:val="327174A9"/>
    <w:rsid w:val="33EC3333"/>
    <w:rsid w:val="353869B8"/>
    <w:rsid w:val="36225D94"/>
    <w:rsid w:val="378D2007"/>
    <w:rsid w:val="37B1036E"/>
    <w:rsid w:val="37D800AA"/>
    <w:rsid w:val="37E14321"/>
    <w:rsid w:val="380C1690"/>
    <w:rsid w:val="3A0950A7"/>
    <w:rsid w:val="3A8673A2"/>
    <w:rsid w:val="3AAD2C8A"/>
    <w:rsid w:val="3C13079F"/>
    <w:rsid w:val="3C190114"/>
    <w:rsid w:val="3CBE503F"/>
    <w:rsid w:val="3F721126"/>
    <w:rsid w:val="3F9C7063"/>
    <w:rsid w:val="3FF73350"/>
    <w:rsid w:val="40101F5B"/>
    <w:rsid w:val="40705CC8"/>
    <w:rsid w:val="40AB488F"/>
    <w:rsid w:val="43A44BAD"/>
    <w:rsid w:val="44982673"/>
    <w:rsid w:val="47426E34"/>
    <w:rsid w:val="47446A78"/>
    <w:rsid w:val="477403A6"/>
    <w:rsid w:val="48ED6699"/>
    <w:rsid w:val="49721A29"/>
    <w:rsid w:val="4AC32269"/>
    <w:rsid w:val="4B2560D5"/>
    <w:rsid w:val="4B520BBC"/>
    <w:rsid w:val="4EC216CF"/>
    <w:rsid w:val="4F223BBB"/>
    <w:rsid w:val="4FE85CE7"/>
    <w:rsid w:val="501A7887"/>
    <w:rsid w:val="508B6C32"/>
    <w:rsid w:val="526E25FD"/>
    <w:rsid w:val="52FB11CB"/>
    <w:rsid w:val="532136E9"/>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7B45AE"/>
    <w:rsid w:val="69B610FC"/>
    <w:rsid w:val="6A27404E"/>
    <w:rsid w:val="6B297E52"/>
    <w:rsid w:val="6DBD79F0"/>
    <w:rsid w:val="6DE024AC"/>
    <w:rsid w:val="6F5F4F9E"/>
    <w:rsid w:val="6FFA2839"/>
    <w:rsid w:val="70FA3967"/>
    <w:rsid w:val="737D5781"/>
    <w:rsid w:val="75D93CE6"/>
    <w:rsid w:val="764A63CC"/>
    <w:rsid w:val="769B378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line="240" w:lineRule="auto"/>
    </w:pPr>
    <w:rPr>
      <w:rFonts w:ascii="Times New Roman" w:hAnsi="Times New Roman" w:eastAsia="宋体"/>
      <w:kern w:val="0"/>
      <w:sz w:val="20"/>
      <w:szCs w:val="24"/>
    </w:rPr>
  </w:style>
  <w:style w:type="paragraph" w:styleId="4">
    <w:name w:val="Body Text Indent"/>
    <w:basedOn w:val="1"/>
    <w:next w:val="5"/>
    <w:unhideWhenUsed/>
    <w:qFormat/>
    <w:uiPriority w:val="99"/>
    <w:pPr>
      <w:spacing w:after="120"/>
      <w:ind w:left="420" w:leftChars="200"/>
    </w:p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4"/>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明显引用1"/>
    <w:basedOn w:val="1"/>
    <w:next w:val="1"/>
    <w:qFormat/>
    <w:uiPriority w:val="0"/>
    <w:pPr>
      <w:widowControl/>
      <w:wordWrap w:val="0"/>
      <w:spacing w:before="360" w:after="360"/>
      <w:ind w:left="950" w:right="950"/>
      <w:jc w:val="center"/>
    </w:pPr>
    <w:rPr>
      <w:i/>
      <w:iCs/>
      <w:kern w:val="0"/>
    </w:rPr>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1203</Words>
  <Characters>1314</Characters>
  <Lines>0</Lines>
  <Paragraphs>0</Paragraphs>
  <TotalTime>9</TotalTime>
  <ScaleCrop>false</ScaleCrop>
  <LinksUpToDate>false</LinksUpToDate>
  <CharactersWithSpaces>1534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Rancho</cp:lastModifiedBy>
  <cp:lastPrinted>2024-02-07T08:38:00Z</cp:lastPrinted>
  <dcterms:modified xsi:type="dcterms:W3CDTF">2025-10-20T00:45:14Z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04368C9FEDD84F52AA187703D6BEBC5C</vt:lpwstr>
  </property>
  <property fmtid="{D5CDD505-2E9C-101B-9397-08002B2CF9AE}" pid="4" name="KSOTemplateDocerSaveRecord">
    <vt:lpwstr>eyJoZGlkIjoiMDcwYzMzZWU4MWNhNTdkNzY2M2IwZGRjOGFlMzgzMGMiLCJ1c2VySWQiOiI1NTk4NDAzOTcifQ==</vt:lpwstr>
  </property>
</Properties>
</file>