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sz w:val="20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 w:bidi="ar-SA"/>
        </w:rPr>
        <w:pict>
          <v:group id="组合 3" o:spid="_x0000_s1030" o:spt="203" style="position:absolute;left:0pt;margin-left:218.7pt;margin-top:212.7pt;height:33.05pt;width:189pt;mso-position-horizontal-relative:page;mso-position-vertical-relative:page;z-index:251659264;mso-width-relative:page;mso-height-relative:page;" coordsize="3780,476">
            <o:lock v:ext="edit" position="f" selection="f" grouping="f" rotation="f" cropping="f" text="f" aspectratio="f"/>
            <v:shape id="任意多边形 1" o:spid="_x0000_s1031" style="position:absolute;left:0;top:0;height:476;width:3780;" fillcolor="#FFFFFF" filled="f" o:preferrelative="t" stroked="f" coordsize="20000,20000" path="m0,0l0,20000,20000,20000,20000,0,0,0e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</v:shape>
            <v:rect id="矩形 2" o:spid="_x0000_s1032" o:spt="1" style="position:absolute;left:0;top:0;height:476;width:3780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>
                <w:txbxContent>
                  <w:p>
                    <w:pPr>
                      <w:spacing w:line="240" w:lineRule="auto"/>
                      <w:jc w:val="both"/>
                      <w:rPr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城中发改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规划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〔20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〕</w:t>
                    </w:r>
                    <w:r>
                      <w:rPr>
                        <w:rFonts w:hint="eastAsia" w:ascii="宋体" w:hAnsi="宋体" w:cs="宋体"/>
                        <w:sz w:val="28"/>
                        <w:lang w:val="en-US" w:eastAsia="zh-CN"/>
                      </w:rPr>
                      <w:t>44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号</w:t>
                    </w:r>
                  </w:p>
                  <w:p>
                    <w:pPr>
                      <w:spacing w:line="240" w:lineRule="auto"/>
                      <w:jc w:val="both"/>
                      <w:rPr>
                        <w:sz w:val="28"/>
                      </w:rPr>
                    </w:pPr>
                  </w:p>
                </w:txbxContent>
              </v:textbox>
            </v:rect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9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90"/>
          <w:sz w:val="44"/>
          <w:szCs w:val="44"/>
          <w:lang w:val="en-US" w:eastAsia="zh-CN"/>
        </w:rPr>
        <w:t>调整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2023年城中区老旧小区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</w:rPr>
        <w:t>配套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</w:rPr>
        <w:t>基础设施改造工程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4"/>
          <w:sz w:val="44"/>
          <w:szCs w:val="44"/>
          <w:lang w:eastAsia="zh-CN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改造方案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的批复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广西柳州市三区投资建设有限公司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报来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《关于申请调整2023年城中区老旧小区配套基础设施改造工程（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期）改造方案的请示》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及相关材料已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收悉。经研究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，现批复如下：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jc w:val="both"/>
        <w:textAlignment w:val="baseline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我局以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城中发改规划〔2023〕1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文批复了2023年城中区老旧小区配套基础设施改造工程（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期）改造方案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人工费上调及</w:t>
      </w:r>
      <w:r>
        <w:rPr>
          <w:rFonts w:hint="eastAsia" w:ascii="Times New Roman" w:hAnsi="Times New Roman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部分建设内容变更，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为加快推进项目建设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经研究，原则同意调整该项目改造方案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firstLine="640" w:firstLineChars="200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shd w:val="clear" w:color="auto" w:fill="auto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shd w:val="clear" w:color="auto" w:fill="auto"/>
          <w:lang w:val="en-US"/>
        </w:rPr>
        <w:t>二、投资项目审批监管平台项目代码：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firstLine="640" w:firstLineChars="200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2306-450202-04-01-516572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项目建设地点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618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"/>
          <w:w w:val="96"/>
          <w:kern w:val="0"/>
          <w:sz w:val="32"/>
          <w:szCs w:val="32"/>
          <w:fitText w:val="7840" w:id="1111384883"/>
          <w:lang w:val="en-US" w:eastAsia="zh-CN"/>
        </w:rPr>
        <w:t>1、罗池社区：（1）文惠路89号；（2）文惠路91号、93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w w:val="96"/>
          <w:kern w:val="0"/>
          <w:sz w:val="32"/>
          <w:szCs w:val="32"/>
          <w:fitText w:val="7840" w:id="1111384883"/>
          <w:lang w:val="en-US" w:eastAsia="zh-CN"/>
        </w:rPr>
        <w:t>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；（3）文化大院；（4）房产局宿舍；（5）工行宿舍；（6）建行宿舍；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18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"/>
          <w:w w:val="96"/>
          <w:kern w:val="0"/>
          <w:sz w:val="32"/>
          <w:szCs w:val="32"/>
          <w:fitText w:val="7840" w:id="1433762870"/>
          <w:lang w:val="en-US" w:eastAsia="zh-CN"/>
        </w:rPr>
        <w:t>2、柳侯社区：（1）测绘所宿舍区；（2）人民医院宿舍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2"/>
          <w:w w:val="96"/>
          <w:kern w:val="0"/>
          <w:sz w:val="32"/>
          <w:szCs w:val="32"/>
          <w:fitText w:val="7840" w:id="1433762870"/>
          <w:lang w:val="en-US" w:eastAsia="zh-CN"/>
        </w:rPr>
        <w:t>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；（3）公安局宿舍区；（4）弯塘路6号；（5）弯塘路14号。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18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"/>
          <w:w w:val="96"/>
          <w:kern w:val="0"/>
          <w:sz w:val="32"/>
          <w:szCs w:val="32"/>
          <w:fitText w:val="7840" w:id="1119375091"/>
          <w:lang w:val="en-US" w:eastAsia="zh-CN"/>
        </w:rPr>
        <w:t>3、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"/>
          <w:w w:val="96"/>
          <w:kern w:val="0"/>
          <w:sz w:val="32"/>
          <w:szCs w:val="32"/>
          <w:fitText w:val="7840" w:id="1119375091"/>
          <w:lang w:val="en-US" w:eastAsia="zh-CN"/>
        </w:rPr>
        <w:t>弯塘社区：（1）地区物质局宿舍区；（2）房产局公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2"/>
          <w:w w:val="96"/>
          <w:kern w:val="0"/>
          <w:sz w:val="32"/>
          <w:szCs w:val="32"/>
          <w:fitText w:val="7840" w:id="1119375091"/>
          <w:lang w:val="en-US" w:eastAsia="zh-CN"/>
        </w:rPr>
        <w:t>房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；（3）地区粮食局宿舍；（4）市广电局宿舍；（5）糖烟公司宿舍；（6）交警宿舍；（7）技术交流站宿舍；（8）市住建委宿舍；（9）老红军居住区；（10）市政府宿舍；（11）老干部局宿舍。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"/>
          <w:w w:val="96"/>
          <w:kern w:val="0"/>
          <w:sz w:val="32"/>
          <w:szCs w:val="32"/>
          <w:fitText w:val="7683" w:id="1692430046"/>
          <w:lang w:val="en-US" w:eastAsia="zh-CN"/>
        </w:rPr>
        <w:t>、龙城社区：（1）龙城路2号工贸宿舍；（2）红星街2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4"/>
          <w:w w:val="96"/>
          <w:kern w:val="0"/>
          <w:sz w:val="32"/>
          <w:szCs w:val="32"/>
          <w:fitText w:val="7683" w:id="1692430046"/>
          <w:lang w:val="en-US" w:eastAsia="zh-CN"/>
        </w:rPr>
        <w:t>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、4号。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5、东门社区：（1）立新路42号、44号、48号、66号、68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"/>
          <w:w w:val="92"/>
          <w:kern w:val="0"/>
          <w:sz w:val="32"/>
          <w:szCs w:val="32"/>
          <w:fitText w:val="8026" w:id="553065242"/>
          <w:lang w:val="en-US" w:eastAsia="zh-CN"/>
        </w:rPr>
        <w:t>号；（2）滨江东路片区；（3）文惠37号；（4）中山东路9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27"/>
          <w:w w:val="92"/>
          <w:kern w:val="0"/>
          <w:sz w:val="32"/>
          <w:szCs w:val="32"/>
          <w:fitText w:val="8026" w:id="553065242"/>
          <w:lang w:val="en-US" w:eastAsia="zh-CN"/>
        </w:rPr>
        <w:t>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、23号；（5）曙光东路216、214、222号；（6）检察院宿舍。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6、五星社区：（1）立新路29、33、39、41、45、47号。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7、西雅社区：（1）经济干校宿舍。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8、文昌社区：（1）大桥管理处宿舍和建材公司宿舍；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（2）郊区建设局和郊区工商局宿舍和龙昌住宅楼；（3）郊区矿产公司宿舍。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9、科大社区：（1）科大东环生活小区。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10、王座社区：（1）潭中东路9号。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11、潭东社区：（1）柳州财校宿舍；（2）峨嵋小区。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26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w w:val="98"/>
          <w:kern w:val="0"/>
          <w:sz w:val="32"/>
          <w:szCs w:val="32"/>
          <w:fitText w:val="7840" w:id="974419673"/>
          <w:lang w:val="en-US" w:eastAsia="zh-CN"/>
        </w:rPr>
        <w:t>12、桂中社区：（1）物价局宿舍；（2）市政府办宿舍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9"/>
          <w:w w:val="98"/>
          <w:kern w:val="0"/>
          <w:sz w:val="32"/>
          <w:szCs w:val="32"/>
          <w:fitText w:val="7840" w:id="974419673"/>
          <w:lang w:val="en-US" w:eastAsia="zh-CN"/>
        </w:rPr>
        <w:t>楼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13、文博社区：（1）兴柳高中宿舍。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5" w:h="16837"/>
          <w:pgMar w:top="1417" w:right="1587" w:bottom="1417" w:left="1587" w:header="567" w:footer="340" w:gutter="0"/>
          <w:pgNumType w:fmt="decimal" w:start="1"/>
          <w:cols w:space="720" w:num="1"/>
          <w:titlePg/>
        </w:sect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建设规模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及主要建设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  <w:t>内容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：2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highlight w:val="none"/>
        </w:rPr>
        <w:t>023年城中区老旧小区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4"/>
          <w:sz w:val="32"/>
          <w:szCs w:val="32"/>
          <w:highlight w:val="none"/>
        </w:rPr>
        <w:t>配套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4"/>
          <w:sz w:val="32"/>
          <w:szCs w:val="32"/>
          <w:highlight w:val="none"/>
          <w:lang w:val="en-US" w:eastAsia="zh-CN"/>
        </w:rPr>
        <w:t>基础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4"/>
          <w:sz w:val="32"/>
          <w:szCs w:val="32"/>
          <w:highlight w:val="none"/>
        </w:rPr>
        <w:t>设施改造工程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4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4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4"/>
          <w:sz w:val="32"/>
          <w:szCs w:val="32"/>
          <w:highlight w:val="none"/>
          <w:lang w:eastAsia="zh-CN"/>
        </w:rPr>
        <w:t>期）</w:t>
      </w:r>
      <w:r>
        <w:rPr>
          <w:rFonts w:hint="eastAsia" w:ascii="Times New Roman" w:hAnsi="Times New Roman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涉及改造建筑面积</w:t>
      </w: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lang w:val="en-US" w:eastAsia="zh-CN"/>
        </w:rPr>
        <w:t>255645.17</w:t>
      </w: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96" w:firstLineChars="200"/>
        <w:jc w:val="left"/>
        <w:textAlignment w:val="baseline"/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</w:rPr>
        <w:t>改造总户数</w:t>
      </w: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lang w:val="en-US" w:eastAsia="zh-CN"/>
        </w:rPr>
        <w:t>3135</w:t>
      </w: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</w:rPr>
        <w:t>户</w:t>
      </w:r>
      <w:r>
        <w:rPr>
          <w:rFonts w:hint="eastAsia" w:ascii="Times New Roman" w:hAnsi="Times New Roman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改造内容包括：（1）室外配套设施改造：室外道路路面改造、排水设施改造、化粪池排水沟清掏疏通、室外照明改造、增设监控设施、增设非机动车停车（充电）设施、增设新能源充电桩、围墙修缮、室外景观绿化设施改造、人行道铺装改造、部分场地硬化、增设垃圾收集分类设施、增设微型消防站、增设居民休闲健身设施、小区出入口设施改造、部分公共用房修缮等相关内容改造；（2）专项改造：居民用水一户一表改造、居民用电一户一表改造等相关内容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仿宋_GB2312"/>
          <w:color w:val="auto"/>
          <w:spacing w:val="3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五、总投资规模及资金来源：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项目估算总投资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lang w:val="en-US" w:eastAsia="zh-CN"/>
        </w:rPr>
        <w:t>3325.56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万元，其中工程费用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lang w:val="en-US" w:eastAsia="zh-CN"/>
        </w:rPr>
        <w:t>2783.37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万元，工程建设其他费用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lang w:val="en-US" w:eastAsia="zh-CN"/>
        </w:rPr>
        <w:t>295.85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万元，基本预备费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lang w:val="en-US" w:eastAsia="zh-CN"/>
        </w:rPr>
        <w:t>246.34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baseline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目资金来源为</w:t>
      </w:r>
      <w:r>
        <w:rPr>
          <w:rFonts w:hint="eastAsia" w:ascii="Times New Roman" w:hAnsi="Times New Roman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申请中央预算内投资和城区财政资金</w:t>
      </w:r>
      <w:r>
        <w:rPr>
          <w:rFonts w:hint="eastAsia" w:ascii="Times New Roman" w:hAnsi="Times New Roman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right="0" w:rightChars="0" w:firstLine="640" w:firstLineChars="200"/>
        <w:textAlignment w:val="baseline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请据此批复开展项目初步设计阶段工作，并进一步落实项目建设资金。工程招投标工作根据《中华人民共和国招标投标法》《必须招标的工程项目规定》（中华人民共和国国家发展和改革委员会令第16号）及相关法规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right="0" w:rightChars="0" w:firstLine="640" w:firstLineChars="200"/>
        <w:textAlignment w:val="baseline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城中发改规划〔2023〕1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文不再执行。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附件：招标事项核准意见表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left="0" w:leftChars="0" w:right="0"/>
        <w:textAlignment w:val="baseline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left="0" w:leftChars="0" w:right="0"/>
        <w:textAlignment w:val="baseline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left="0" w:leftChars="0" w:right="0"/>
        <w:textAlignment w:val="baseline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                     柳州市城中区发展和改革局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/>
        <w:textAlignment w:val="baseline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23年11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eastAsia="仿宋_GB2312" w:cs="仿宋_GB2312"/>
          <w:color w:val="auto"/>
          <w:sz w:val="32"/>
          <w:szCs w:val="32"/>
          <w:lang w:eastAsia="zh-CN"/>
        </w:rPr>
        <w:sectPr>
          <w:footerReference r:id="rId10" w:type="first"/>
          <w:footerReference r:id="rId9" w:type="default"/>
          <w:pgSz w:w="11905" w:h="16837"/>
          <w:pgMar w:top="1417" w:right="1587" w:bottom="1417" w:left="1587" w:header="567" w:footer="340" w:gutter="0"/>
          <w:pgNumType w:fmt="decimal" w:start="1"/>
          <w:cols w:space="720" w:num="1"/>
          <w:titlePg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此页无正文）</w:t>
      </w:r>
    </w:p>
    <w:p>
      <w:pPr>
        <w:pStyle w:val="2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1285" w:hanging="1285" w:hangingChars="400"/>
        <w:textAlignment w:val="baseline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1285" w:hanging="1285" w:hangingChars="400"/>
        <w:textAlignment w:val="baseline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  <w:t>政府信息公开选项：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u w:val="single"/>
          <w:lang w:val="en-US" w:eastAsia="zh-CN"/>
        </w:rPr>
        <w:t>主动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  <w:t xml:space="preserve">公开                              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60" w:firstLineChars="100"/>
        <w:jc w:val="left"/>
        <w:textAlignment w:val="baseline"/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pacing w:val="-10"/>
          <w:sz w:val="28"/>
          <w:szCs w:val="28"/>
          <w:lang w:eastAsia="zh-CN"/>
        </w:rPr>
        <w:t>抄送：</w:t>
      </w:r>
      <w:r>
        <w:rPr>
          <w:rFonts w:hint="eastAsia" w:ascii="Times New Roman" w:hAnsi="Times New Roman" w:eastAsia="仿宋" w:cs="仿宋"/>
          <w:color w:val="auto"/>
          <w:spacing w:val="-10"/>
          <w:sz w:val="28"/>
          <w:szCs w:val="28"/>
          <w:lang w:val="en-US" w:eastAsia="zh-CN"/>
        </w:rPr>
        <w:t>城中区政府办、</w:t>
      </w:r>
      <w:r>
        <w:rPr>
          <w:rFonts w:hint="eastAsia" w:ascii="Times New Roman" w:hAnsi="Times New Roman" w:eastAsia="仿宋" w:cs="仿宋"/>
          <w:color w:val="auto"/>
          <w:spacing w:val="-10"/>
          <w:sz w:val="28"/>
          <w:szCs w:val="28"/>
          <w:lang w:eastAsia="zh-CN"/>
        </w:rPr>
        <w:t>城中区</w:t>
      </w:r>
      <w:r>
        <w:rPr>
          <w:rFonts w:hint="eastAsia" w:ascii="Times New Roman" w:hAnsi="Times New Roman" w:eastAsia="仿宋" w:cs="仿宋"/>
          <w:color w:val="auto"/>
          <w:spacing w:val="-10"/>
          <w:sz w:val="28"/>
          <w:szCs w:val="28"/>
          <w:lang w:val="en-US" w:eastAsia="zh-CN"/>
        </w:rPr>
        <w:t>住建局、</w:t>
      </w:r>
      <w:r>
        <w:rPr>
          <w:rFonts w:hint="eastAsia" w:ascii="Times New Roman" w:hAnsi="Times New Roman" w:eastAsia="仿宋" w:cs="仿宋"/>
          <w:color w:val="auto"/>
          <w:spacing w:val="-10"/>
          <w:sz w:val="28"/>
          <w:szCs w:val="28"/>
          <w:lang w:eastAsia="zh-CN"/>
        </w:rPr>
        <w:t>城中区财政局、城中区</w:t>
      </w:r>
      <w:r>
        <w:rPr>
          <w:rFonts w:hint="eastAsia" w:ascii="Times New Roman" w:hAnsi="Times New Roman" w:eastAsia="仿宋" w:cs="仿宋"/>
          <w:color w:val="auto"/>
          <w:spacing w:val="-10"/>
          <w:sz w:val="28"/>
          <w:szCs w:val="28"/>
          <w:lang w:val="en-US" w:eastAsia="zh-CN"/>
        </w:rPr>
        <w:t>司法局。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baseline"/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</w:pP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>本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  <w:lang w:eastAsia="zh-CN"/>
        </w:rPr>
        <w:t>局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 xml:space="preserve">存档。                         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" w:cs="仿宋"/>
          <w:color w:val="auto"/>
          <w:spacing w:val="-16"/>
          <w:sz w:val="28"/>
          <w:szCs w:val="28"/>
          <w:u w:val="single"/>
        </w:rPr>
        <w:t xml:space="preserve"> </w:t>
      </w:r>
      <w:r>
        <w:rPr>
          <w:rFonts w:hint="eastAsia" w:eastAsia="仿宋" w:cs="仿宋"/>
          <w:color w:val="auto"/>
          <w:spacing w:val="-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>柳州市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eastAsia="zh-CN"/>
        </w:rPr>
        <w:t>城中区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>发展和改革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eastAsia="zh-CN"/>
        </w:rPr>
        <w:t>局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 xml:space="preserve"> 20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val="en-US" w:eastAsia="zh-CN"/>
        </w:rPr>
        <w:t>23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>年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val="en-US" w:eastAsia="zh-CN"/>
        </w:rPr>
        <w:t>11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>月</w:t>
      </w:r>
      <w:r>
        <w:rPr>
          <w:rFonts w:hint="eastAsia" w:eastAsia="仿宋" w:cs="仿宋"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</w:rPr>
        <w:t>日印发</w:t>
      </w:r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" w:cs="仿宋"/>
          <w:color w:val="auto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rPr>
          <w:rFonts w:hint="eastAsia" w:ascii="Times New Roman" w:hAnsi="Times New Roman" w:eastAsia="黑体"/>
          <w:color w:val="000000"/>
          <w:sz w:val="32"/>
          <w:szCs w:val="32"/>
        </w:rPr>
        <w:sectPr>
          <w:footerReference r:id="rId12" w:type="first"/>
          <w:footerReference r:id="rId11" w:type="default"/>
          <w:pgSz w:w="11905" w:h="16837"/>
          <w:pgMar w:top="1417" w:right="1587" w:bottom="1417" w:left="1587" w:header="567" w:footer="340" w:gutter="0"/>
          <w:pgNumType w:fmt="decimal" w:start="1"/>
          <w:cols w:space="720" w:num="1"/>
        </w:sectPr>
      </w:pPr>
    </w:p>
    <w:p>
      <w:pPr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附件：</w:t>
      </w:r>
    </w:p>
    <w:tbl>
      <w:tblPr>
        <w:tblStyle w:val="10"/>
        <w:tblW w:w="10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877"/>
        <w:gridCol w:w="877"/>
        <w:gridCol w:w="877"/>
        <w:gridCol w:w="877"/>
        <w:gridCol w:w="877"/>
        <w:gridCol w:w="877"/>
        <w:gridCol w:w="940"/>
        <w:gridCol w:w="1339"/>
        <w:gridCol w:w="715"/>
        <w:gridCol w:w="82"/>
        <w:gridCol w:w="11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842" w:type="dxa"/>
            <w:gridSpan w:val="12"/>
            <w:noWrap w:val="0"/>
            <w:vAlign w:val="center"/>
          </w:tcPr>
          <w:p>
            <w:pPr>
              <w:widowControl/>
              <w:ind w:firstLine="3080" w:firstLineChars="700"/>
              <w:jc w:val="both"/>
              <w:textAlignment w:val="center"/>
              <w:rPr>
                <w:rFonts w:ascii="Times New Roman" w:hAnsi="Times New Roman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招标事项核准意见表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6202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广西柳州市三区投资建设有限公司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9469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8"/>
                <w:szCs w:val="28"/>
                <w:highlight w:val="none"/>
              </w:rPr>
              <w:t>023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>年城中区老旧小区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pacing w:val="-14"/>
                <w:sz w:val="28"/>
                <w:szCs w:val="28"/>
                <w:highlight w:val="none"/>
              </w:rPr>
              <w:t>配套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pacing w:val="-14"/>
                <w:sz w:val="28"/>
                <w:szCs w:val="28"/>
                <w:highlight w:val="none"/>
                <w:lang w:val="en-US" w:eastAsia="zh-CN"/>
              </w:rPr>
              <w:t>基础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pacing w:val="-14"/>
                <w:sz w:val="28"/>
                <w:szCs w:val="28"/>
                <w:highlight w:val="none"/>
              </w:rPr>
              <w:t>设施改造工程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b w:val="0"/>
                <w:bCs/>
                <w:color w:val="auto"/>
                <w:spacing w:val="-14"/>
                <w:sz w:val="28"/>
                <w:szCs w:val="28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  <w:t>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招标范围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招标组织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招标方式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不采用招标方式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估算金额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全部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部分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自行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委托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邀请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招标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勘察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  <w:t>核准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设计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核准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96.76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建安工程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核准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核准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核准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2783.37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  <w:t>监理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核准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58.32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525" w:hRule="atLeast"/>
        </w:trPr>
        <w:tc>
          <w:tcPr>
            <w:tcW w:w="3127" w:type="dxa"/>
            <w:gridSpan w:val="3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审批部门核准意见说明：</w:t>
            </w: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510" w:hRule="atLeast"/>
        </w:trPr>
        <w:tc>
          <w:tcPr>
            <w:tcW w:w="8914" w:type="dxa"/>
            <w:gridSpan w:val="9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560" w:firstLineChars="200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根据《中华人民共和国招标投标法》、《中华人民共和国招标投标法实施条例》和《广西壮族自治区实施&lt;中华人民共和国招标投标法&gt;办法》，核准该项工程建设的招标方案。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510" w:hRule="atLeast"/>
        </w:trPr>
        <w:tc>
          <w:tcPr>
            <w:tcW w:w="8914" w:type="dxa"/>
            <w:gridSpan w:val="9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8914" w:type="dxa"/>
            <w:gridSpan w:val="9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420" w:hRule="atLeast"/>
        </w:trPr>
        <w:tc>
          <w:tcPr>
            <w:tcW w:w="137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1" w:type="dxa"/>
          <w:trHeight w:val="181" w:hRule="atLeast"/>
        </w:trPr>
        <w:tc>
          <w:tcPr>
            <w:tcW w:w="137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1190" w:hRule="atLeast"/>
        </w:trPr>
        <w:tc>
          <w:tcPr>
            <w:tcW w:w="137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审批部门盖章</w:t>
            </w:r>
          </w:p>
          <w:p>
            <w:pPr>
              <w:pStyle w:val="3"/>
              <w:rPr>
                <w:rFonts w:hint="eastAsia" w:ascii="Times New Roman" w:hAnsi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default" w:ascii="Times New Roman" w:hAnsi="Times New Roman" w:cs="Times New Roman"/>
        </w:rPr>
      </w:pPr>
    </w:p>
    <w:sectPr>
      <w:footerReference r:id="rId13" w:type="default"/>
      <w:pgSz w:w="11905" w:h="16837"/>
      <w:pgMar w:top="1417" w:right="1587" w:bottom="1417" w:left="1587" w:header="567" w:footer="34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360"/>
      <w:jc w:val="center"/>
    </w:pP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文本框 6" o:spid="_x0000_s2051" o:spt="202" type="#_x0000_t202" style="position:absolute;left:0pt;margin-left:-1pt;margin-top:-43pt;height:50.75pt;width:60.85pt;mso-position-horizontal-relative:margin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—2—</w:t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任意多边形 9" o:spid="_x0000_s2052" style="position:absolute;left:0pt;margin-left:56.65pt;margin-top:796.5pt;height:28.3pt;width:481.85pt;mso-position-horizontal-relative:page;mso-position-vertical-relative:page;z-index:-251656192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eastAsia="宋体" w:cs="Times New Roman"/>
        <w:sz w:val="18"/>
        <w:szCs w:val="18"/>
        <w:lang w:val="en-US" w:eastAsia="zh-CN" w:bidi="ar-SA"/>
      </w:rPr>
      <w:pict>
        <v:shape id="文本框 7" o:spid="_x0000_s2049" o:spt="202" type="#_x0000_t202" style="position:absolute;left:0pt;margin-left:402.8pt;margin-top:-35pt;height:29.55pt;width:57.75pt;mso-position-horizontal-relative:margin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—1—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360"/>
      <w:jc w:val="center"/>
    </w:pP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58" o:spid="_x0000_s2058" o:spt="202" type="#_x0000_t202" style="position:absolute;left:0pt;margin-left:-1pt;margin-top:-43pt;height:50.75pt;width:60.85pt;mso-position-horizontal-relative:margin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—2—</w:t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59" o:spid="_x0000_s2059" style="position:absolute;left:0pt;margin-left:56.65pt;margin-top:796.5pt;height:28.3pt;width:481.85pt;mso-position-horizontal-relative:page;mso-position-vertical-relative:page;z-index:-251653120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eastAsia="宋体" w:cs="Times New Roman"/>
        <w:sz w:val="18"/>
        <w:szCs w:val="18"/>
        <w:lang w:val="en-US" w:eastAsia="zh-CN" w:bidi="ar-SA"/>
      </w:rPr>
      <w:pict>
        <v:shape id="_x0000_s2061" o:spid="_x0000_s2061" o:spt="202" type="#_x0000_t202" style="position:absolute;left:0pt;margin-left:402.8pt;margin-top:-35pt;height:29.55pt;width:57.75pt;mso-position-horizontal-relative:margin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—3—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360"/>
      <w:jc w:val="center"/>
    </w:pP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63" o:spid="_x0000_s2063" o:spt="202" type="#_x0000_t202" style="position:absolute;left:0pt;margin-left:-1pt;margin-top:-43pt;height:23.45pt;width:60.85pt;mso-position-horizontal-relative:margin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—4—</w:t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64" o:spid="_x0000_s2064" style="position:absolute;left:0pt;margin-left:56.65pt;margin-top:796.5pt;height:28.3pt;width:481.85pt;mso-position-horizontal-relative:page;mso-position-vertical-relative:page;z-index:-251650048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65" o:spid="_x0000_s2065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18"/>
        <w:szCs w:val="18"/>
        <w:lang w:val="en-US" w:eastAsia="zh-CN" w:bidi="ar-SA"/>
      </w:rPr>
      <w:pict>
        <v:shape id="_x0000_s2066" o:spid="_x0000_s2066" o:spt="202" type="#_x0000_t202" style="position:absolute;left:0pt;margin-left:402.8pt;margin-top:-35pt;height:29.55pt;width:57.75pt;mso-position-horizontal-relative:margin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—1—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360"/>
      <w:jc w:val="both"/>
    </w:pP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73" o:spid="_x0000_s2073" o:spt="202" type="#_x0000_t202" style="position:absolute;left:0pt;margin-left:399.1pt;margin-top:-41.65pt;height:23.45pt;width:42.1pt;mso-position-horizontal-relative:margin;z-index:25167155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>—5—</w:t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74" o:spid="_x0000_s2074" style="position:absolute;left:0pt;margin-left:56.65pt;margin-top:796.5pt;height:28.3pt;width:481.85pt;mso-position-horizontal-relative:page;mso-position-vertical-relative:page;z-index:-251645952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任意多边形 4" o:spid="_x0000_s2050" style="position:absolute;left:0pt;margin-left:56.65pt;margin-top:28.3pt;height:28.3pt;width:481.85pt;mso-position-horizontal-relative:page;mso-position-vertical-relative:page;z-index:-251657216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9A1EF"/>
    <w:multiLevelType w:val="singleLevel"/>
    <w:tmpl w:val="4629A1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64C93F"/>
    <w:multiLevelType w:val="singleLevel"/>
    <w:tmpl w:val="5764C93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517F99"/>
    <w:rsid w:val="02E91EBD"/>
    <w:rsid w:val="02F37028"/>
    <w:rsid w:val="036500F8"/>
    <w:rsid w:val="04AB2D91"/>
    <w:rsid w:val="051E1FF4"/>
    <w:rsid w:val="07DC6674"/>
    <w:rsid w:val="082E6D11"/>
    <w:rsid w:val="08A97892"/>
    <w:rsid w:val="0BAD421E"/>
    <w:rsid w:val="13FC4952"/>
    <w:rsid w:val="152C20DC"/>
    <w:rsid w:val="155C643E"/>
    <w:rsid w:val="1560212A"/>
    <w:rsid w:val="17746684"/>
    <w:rsid w:val="1854306E"/>
    <w:rsid w:val="18B26813"/>
    <w:rsid w:val="18FE79C0"/>
    <w:rsid w:val="1B1062F2"/>
    <w:rsid w:val="1BC95AD5"/>
    <w:rsid w:val="1C233926"/>
    <w:rsid w:val="1FC43A2D"/>
    <w:rsid w:val="22D51C13"/>
    <w:rsid w:val="2310150F"/>
    <w:rsid w:val="25A82B55"/>
    <w:rsid w:val="269D47D5"/>
    <w:rsid w:val="284E569A"/>
    <w:rsid w:val="297B03B8"/>
    <w:rsid w:val="2A1B5F4E"/>
    <w:rsid w:val="2ABC2988"/>
    <w:rsid w:val="2E7168D5"/>
    <w:rsid w:val="2F602DC6"/>
    <w:rsid w:val="31B23A98"/>
    <w:rsid w:val="31D912C4"/>
    <w:rsid w:val="327174A9"/>
    <w:rsid w:val="33EC3333"/>
    <w:rsid w:val="353869B8"/>
    <w:rsid w:val="35F1677D"/>
    <w:rsid w:val="365957AE"/>
    <w:rsid w:val="37D800AA"/>
    <w:rsid w:val="380C1690"/>
    <w:rsid w:val="38762E94"/>
    <w:rsid w:val="389D2504"/>
    <w:rsid w:val="3A0950A7"/>
    <w:rsid w:val="3A4504F5"/>
    <w:rsid w:val="3C13079F"/>
    <w:rsid w:val="3F721126"/>
    <w:rsid w:val="3FF73350"/>
    <w:rsid w:val="40AB488F"/>
    <w:rsid w:val="42C0614C"/>
    <w:rsid w:val="46B50FB8"/>
    <w:rsid w:val="47426E34"/>
    <w:rsid w:val="47446A78"/>
    <w:rsid w:val="48AF47C8"/>
    <w:rsid w:val="48ED6699"/>
    <w:rsid w:val="49721A29"/>
    <w:rsid w:val="4AC32269"/>
    <w:rsid w:val="4B2560D5"/>
    <w:rsid w:val="4B520BBC"/>
    <w:rsid w:val="4F223BBB"/>
    <w:rsid w:val="501A7887"/>
    <w:rsid w:val="51334745"/>
    <w:rsid w:val="526E25FD"/>
    <w:rsid w:val="55FB43D2"/>
    <w:rsid w:val="56D35A71"/>
    <w:rsid w:val="5A510038"/>
    <w:rsid w:val="5C9238ED"/>
    <w:rsid w:val="5CF14DE0"/>
    <w:rsid w:val="5D8D6D43"/>
    <w:rsid w:val="60B2311C"/>
    <w:rsid w:val="60EE10ED"/>
    <w:rsid w:val="62EC3E31"/>
    <w:rsid w:val="63F72887"/>
    <w:rsid w:val="63F75AD9"/>
    <w:rsid w:val="640214FB"/>
    <w:rsid w:val="65F94D64"/>
    <w:rsid w:val="66756A5B"/>
    <w:rsid w:val="67517F99"/>
    <w:rsid w:val="687D6C0A"/>
    <w:rsid w:val="68AF7834"/>
    <w:rsid w:val="690E5ED3"/>
    <w:rsid w:val="69B610FC"/>
    <w:rsid w:val="6A1C58CF"/>
    <w:rsid w:val="6A27404E"/>
    <w:rsid w:val="6DE024AC"/>
    <w:rsid w:val="6F5F4F9E"/>
    <w:rsid w:val="70FA3967"/>
    <w:rsid w:val="71DF04BF"/>
    <w:rsid w:val="748A678D"/>
    <w:rsid w:val="74B85322"/>
    <w:rsid w:val="764A63CC"/>
    <w:rsid w:val="773748FC"/>
    <w:rsid w:val="7C5606AD"/>
    <w:rsid w:val="7D910439"/>
    <w:rsid w:val="7FBF0F7D"/>
    <w:rsid w:val="7FCE6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line="600" w:lineRule="exact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next w:val="1"/>
    <w:unhideWhenUsed/>
    <w:qFormat/>
    <w:uiPriority w:val="99"/>
    <w:pPr>
      <w:spacing w:after="120" w:line="240" w:lineRule="auto"/>
    </w:pPr>
    <w:rPr>
      <w:rFonts w:ascii="Times New Roman" w:hAnsi="Times New Roman" w:eastAsia="宋体"/>
      <w:kern w:val="0"/>
      <w:sz w:val="20"/>
      <w:szCs w:val="24"/>
    </w:r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First Indent 2"/>
    <w:basedOn w:val="5"/>
    <w:unhideWhenUsed/>
    <w:qFormat/>
    <w:uiPriority w:val="99"/>
    <w:pPr>
      <w:tabs>
        <w:tab w:val="left" w:pos="4789"/>
      </w:tabs>
      <w:spacing w:line="360" w:lineRule="auto"/>
      <w:ind w:left="0" w:leftChars="0" w:firstLine="1040" w:firstLineChars="200"/>
    </w:pPr>
    <w:rPr>
      <w:rFonts w:ascii="Times New Roman" w:hAnsi="Times New Roman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明显引用1"/>
    <w:basedOn w:val="1"/>
    <w:next w:val="1"/>
    <w:qFormat/>
    <w:uiPriority w:val="0"/>
    <w:pPr>
      <w:widowControl/>
      <w:wordWrap w:val="0"/>
      <w:spacing w:before="360" w:after="360"/>
      <w:ind w:left="950" w:right="950"/>
      <w:jc w:val="center"/>
    </w:pPr>
    <w:rPr>
      <w:i/>
      <w:iCs/>
      <w:kern w:val="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样式 行距: 1.5 倍行距 首行缩进:  2 字符"/>
    <w:basedOn w:val="1"/>
    <w:qFormat/>
    <w:uiPriority w:val="0"/>
    <w:pPr>
      <w:adjustRightInd w:val="0"/>
      <w:snapToGrid w:val="0"/>
      <w:spacing w:line="4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 textRotate="1"/>
    <customShpInfo spid="_x0000_s2052"/>
    <customShpInfo spid="_x0000_s2049" textRotate="1"/>
    <customShpInfo spid="_x0000_s2058" textRotate="1"/>
    <customShpInfo spid="_x0000_s2059"/>
    <customShpInfo spid="_x0000_s2061" textRotate="1"/>
    <customShpInfo spid="_x0000_s2063" textRotate="1"/>
    <customShpInfo spid="_x0000_s2064"/>
    <customShpInfo spid="_x0000_s2065" textRotate="1"/>
    <customShpInfo spid="_x0000_s2066" textRotate="1"/>
    <customShpInfo spid="_x0000_s2073" textRotate="1"/>
    <customShpInfo spid="_x0000_s2074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2021-02-04T01:33:00Z</dcterms:created>
  <dc:creator>窗里窗外</dc:creator>
  <cp:lastModifiedBy>佟兒</cp:lastModifiedBy>
  <cp:lastPrinted>2023-11-20T08:34:40Z</cp:lastPrinted>
  <dcterms:modified xsi:type="dcterms:W3CDTF">2023-11-20T08:38:06Z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04368C9FEDD84F52AA187703D6BEBC5C</vt:lpwstr>
  </property>
</Properties>
</file>