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柳州市城中区牛车坪村城中村改造项目</w:t>
      </w:r>
    </w:p>
    <w:p>
      <w:pPr>
        <w:numPr>
          <w:ilvl w:val="0"/>
          <w:numId w:val="1"/>
        </w:numPr>
        <w:spacing w:line="540" w:lineRule="exact"/>
        <w:jc w:val="cente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D级危房改造地块第一部分）</w:t>
      </w:r>
    </w:p>
    <w:p>
      <w:pPr>
        <w:numPr>
          <w:ilvl w:val="0"/>
          <w:numId w:val="0"/>
        </w:numPr>
        <w:spacing w:line="540" w:lineRule="exact"/>
        <w:jc w:val="cente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bookmarkStart w:id="2" w:name="_GoBack"/>
      <w:bookmarkStart w:id="0" w:name="OLE_LINK2"/>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房屋征收补偿方案</w:t>
      </w:r>
      <w:bookmarkEnd w:id="2"/>
      <w:bookmarkEnd w:id="0"/>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themeColor="text1"/>
          <w:sz w:val="32"/>
          <w:szCs w:val="32"/>
          <w:lang w:val="en-US"/>
          <w14:textFill>
            <w14:solidFill>
              <w14:schemeClr w14:val="tx1"/>
            </w14:solidFill>
          </w14:textFill>
        </w:rPr>
      </w:pP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因实施</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柳州市城中区牛车坪村城中村改造项目（C、D级危房改造地块第一部分）</w:t>
      </w:r>
      <w:r>
        <w:rPr>
          <w:rFonts w:hint="default" w:ascii="Times New Roman" w:hAnsi="Times New Roman" w:eastAsia="仿宋_GB2312" w:cs="Times New Roman"/>
          <w:color w:val="000000" w:themeColor="text1"/>
          <w:sz w:val="32"/>
          <w:szCs w:val="32"/>
          <w14:textFill>
            <w14:solidFill>
              <w14:schemeClr w14:val="tx1"/>
            </w14:solidFill>
          </w14:textFill>
        </w:rPr>
        <w:t>建设，需征收该项目规划用地范围内国有土地上房屋及附属物，根据《国有土地上房屋征收与补偿条例》（国务院令第590号）和有关法规政策规定，制定本补偿方案。</w:t>
      </w:r>
    </w:p>
    <w:p>
      <w:pPr>
        <w:spacing w:line="540" w:lineRule="exact"/>
        <w:jc w:val="center"/>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第一部分 基本情况</w:t>
      </w:r>
    </w:p>
    <w:p>
      <w:pPr>
        <w:spacing w:line="540" w:lineRule="exact"/>
        <w:ind w:firstLine="643" w:firstLineChars="200"/>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一、项目名称：</w:t>
      </w:r>
      <w:bookmarkStart w:id="1" w:name="OLE_LINK1"/>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柳州市城中区牛车坪村城中村改造项目（C、D级危房改造地块第一部分）</w:t>
      </w:r>
    </w:p>
    <w:bookmarkEnd w:id="1"/>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二、征收范围：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柳州市自然资源和规划局关于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重新出具</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柳州市城中区牛车坪村城中村改造项目（C、D级危房改造地块第一部分）</w:t>
      </w:r>
      <w:r>
        <w:rPr>
          <w:rFonts w:hint="default" w:ascii="Times New Roman" w:hAnsi="Times New Roman" w:eastAsia="仿宋_GB2312" w:cs="Times New Roman"/>
          <w:color w:val="000000" w:themeColor="text1"/>
          <w:sz w:val="32"/>
          <w:szCs w:val="32"/>
          <w14:textFill>
            <w14:solidFill>
              <w14:schemeClr w14:val="tx1"/>
            </w14:solidFill>
          </w14:textFill>
        </w:rPr>
        <w:t>规划意见的函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柳资源规划用地〔2024〕76号</w:t>
      </w:r>
      <w:r>
        <w:rPr>
          <w:rFonts w:hint="default" w:ascii="Times New Roman" w:hAnsi="Times New Roman" w:eastAsia="仿宋_GB2312" w:cs="Times New Roman"/>
          <w:color w:val="000000" w:themeColor="text1"/>
          <w:kern w:val="0"/>
          <w:sz w:val="32"/>
          <w:szCs w:val="32"/>
          <w14:textFill>
            <w14:solidFill>
              <w14:schemeClr w14:val="tx1"/>
            </w14:solidFill>
          </w14:textFill>
        </w:rPr>
        <w:t>规划红线定点范围内</w:t>
      </w:r>
      <w:r>
        <w:rPr>
          <w:rFonts w:hint="eastAsia" w:eastAsia="仿宋_GB2312" w:cs="Times New Roman"/>
          <w:color w:val="000000" w:themeColor="text1"/>
          <w:kern w:val="0"/>
          <w:sz w:val="32"/>
          <w:szCs w:val="32"/>
          <w:lang w:eastAsia="zh-CN"/>
          <w14:textFill>
            <w14:solidFill>
              <w14:schemeClr w14:val="tx1"/>
            </w14:solidFill>
          </w14:textFill>
        </w:rPr>
        <w:t>涉及的文惠路131号、公园路北一巷3号、公园路北一巷4号、映山街东二巷29号、景行路31号、映山街37号、中山西路80号、西柴路81号、青云路61号、青云路南三巷8号、青云路53号、青云路南三巷5号、曙光西路45号、曙光西路26号、曙光西路8号、小南路后街1号、曙光西路2号、曙光西路7号、曙光西路5号、长青路4号、小南路79号</w:t>
      </w:r>
      <w:r>
        <w:rPr>
          <w:rFonts w:hint="default" w:ascii="Times New Roman" w:hAnsi="Times New Roman" w:eastAsia="仿宋_GB2312" w:cs="Times New Roman"/>
          <w:color w:val="000000" w:themeColor="text1"/>
          <w:kern w:val="0"/>
          <w:sz w:val="32"/>
          <w:szCs w:val="32"/>
          <w14:textFill>
            <w14:solidFill>
              <w14:schemeClr w14:val="tx1"/>
            </w14:solidFill>
          </w14:textFill>
        </w:rPr>
        <w:t>国有土地上的房屋及附属物</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pPr>
        <w:spacing w:line="540" w:lineRule="exact"/>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三、征收当事人</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（一）征收主体：柳州市城中区人民政府</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（二）征收部门：柳州市城中区住房和城乡建设局</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（三）征收实施单位：柳州市城中区征地拆迁和房屋征收补偿服务中心</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（四）被征收人：被征收房屋所有权人</w:t>
      </w:r>
    </w:p>
    <w:p>
      <w:pPr>
        <w:spacing w:line="540" w:lineRule="exact"/>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第二部分 补偿</w:t>
      </w:r>
    </w:p>
    <w:p>
      <w:pPr>
        <w:spacing w:line="540" w:lineRule="exact"/>
        <w:ind w:firstLine="627" w:firstLineChars="196"/>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本项目被征收人可选择货币补偿，也可以选择房屋产权调换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及住宅类房屋房票安置。</w:t>
      </w:r>
    </w:p>
    <w:p>
      <w:pPr>
        <w:spacing w:line="540" w:lineRule="exact"/>
        <w:ind w:firstLine="643" w:firstLineChars="200"/>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一、货币补偿</w:t>
      </w:r>
    </w:p>
    <w:p>
      <w:pPr>
        <w:keepNext w:val="0"/>
        <w:keepLines w:val="0"/>
        <w:widowControl/>
        <w:suppressLineNumbers w:val="0"/>
        <w:ind w:firstLine="62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被征收人选择货币补偿的</w:t>
      </w:r>
      <w:r>
        <w:rPr>
          <w:rFonts w:hint="default" w:ascii="Times New Roman" w:hAnsi="Times New Roman" w:eastAsia="仿宋_GB2312" w:cs="Times New Roman"/>
          <w:color w:val="000000" w:themeColor="text1"/>
          <w:sz w:val="32"/>
          <w:szCs w:val="32"/>
          <w14:textFill>
            <w14:solidFill>
              <w14:schemeClr w14:val="tx1"/>
            </w14:solidFill>
          </w14:textFill>
        </w:rPr>
        <w:t>，按照《国有土地上房屋征收评估办法》等法规规定，选定具有房地产评估资质的机构对被征收房屋进行评估，评估结果作为被征收房屋补偿的依据。</w:t>
      </w:r>
    </w:p>
    <w:p>
      <w:pPr>
        <w:keepNext w:val="0"/>
        <w:keepLines w:val="0"/>
        <w:widowControl/>
        <w:suppressLineNumbers w:val="0"/>
        <w:ind w:firstLine="6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被征收房屋价值的补偿</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被征收房屋建筑面积</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 xml:space="preserve">被征收房屋房地产市场评估单价。 </w:t>
      </w:r>
    </w:p>
    <w:p>
      <w:pPr>
        <w:keepNext w:val="0"/>
        <w:keepLines w:val="0"/>
        <w:widowControl/>
        <w:suppressLineNumbers w:val="0"/>
        <w:ind w:firstLine="62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被征收房屋建筑面积是指产权房屋建筑面积以及经认定可以补偿的房屋建筑面积</w:t>
      </w:r>
    </w:p>
    <w:p>
      <w:pPr>
        <w:spacing w:line="540" w:lineRule="exact"/>
        <w:ind w:firstLine="643" w:firstLineChars="200"/>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二、房屋产权调换</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安置房的选择以公开、公平、公正为原则，按先签协议先选房的程序进行。</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（一）房屋产权调换房源</w:t>
      </w:r>
    </w:p>
    <w:p>
      <w:pPr>
        <w:spacing w:line="540" w:lineRule="exact"/>
        <w:ind w:firstLine="800" w:firstLineChars="25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被征收人选择产权调换的，提供产权调换安置房源为</w:t>
      </w:r>
      <w:r>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t>位于柳州市</w:t>
      </w:r>
      <w:r>
        <w:rPr>
          <w:rFonts w:hint="default" w:ascii="Times New Roman" w:hAnsi="Times New Roman" w:eastAsia="仿宋_GB2312" w:cs="Times New Roman"/>
          <w:color w:val="000000" w:themeColor="text1"/>
          <w:kern w:val="0"/>
          <w:sz w:val="32"/>
          <w:szCs w:val="32"/>
          <w:shd w:val="clear" w:color="auto" w:fill="auto"/>
          <w:lang w:eastAsia="zh-CN"/>
          <w14:textFill>
            <w14:solidFill>
              <w14:schemeClr w14:val="tx1"/>
            </w14:solidFill>
          </w14:textFill>
        </w:rPr>
        <w:t>文庭路</w:t>
      </w:r>
      <w:r>
        <w:rPr>
          <w:rFonts w:hint="default" w:ascii="Times New Roman" w:hAnsi="Times New Roman" w:eastAsia="仿宋_GB2312" w:cs="Times New Roman"/>
          <w:color w:val="000000" w:themeColor="text1"/>
          <w:kern w:val="0"/>
          <w:sz w:val="32"/>
          <w:szCs w:val="32"/>
          <w:shd w:val="clear" w:color="auto" w:fill="auto"/>
          <w:lang w:val="en-US" w:eastAsia="zh-CN"/>
          <w14:textFill>
            <w14:solidFill>
              <w14:schemeClr w14:val="tx1"/>
            </w14:solidFill>
          </w14:textFill>
        </w:rPr>
        <w:t>2号</w:t>
      </w:r>
      <w:r>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t>文庭新居。</w:t>
      </w:r>
      <w:r>
        <w:rPr>
          <w:rFonts w:hint="default" w:ascii="Times New Roman" w:hAnsi="Times New Roman" w:eastAsia="仿宋_GB2312" w:cs="Times New Roman"/>
          <w:color w:val="000000" w:themeColor="text1"/>
          <w:kern w:val="0"/>
          <w:sz w:val="32"/>
          <w:szCs w:val="32"/>
          <w14:textFill>
            <w14:solidFill>
              <w14:schemeClr w14:val="tx1"/>
            </w14:solidFill>
          </w14:textFill>
        </w:rPr>
        <w:t>具体房型、建筑面积等在在安置小区售楼部咨询。</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（二）住宅类房屋产权调换方式</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被征收人选择房屋征收部门提供的住宅房屋进行产权</w:t>
      </w:r>
      <w:r>
        <w:rPr>
          <w:rFonts w:hint="default" w:ascii="Times New Roman" w:hAnsi="Times New Roman" w:eastAsia="仿宋_GB2312" w:cs="Times New Roman"/>
          <w:color w:val="000000" w:themeColor="text1"/>
          <w:sz w:val="32"/>
          <w:szCs w:val="32"/>
          <w14:textFill>
            <w14:solidFill>
              <w14:schemeClr w14:val="tx1"/>
            </w14:solidFill>
          </w14:textFill>
        </w:rPr>
        <w:t>调换的，可以选择以下方式进行产权调换：</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1.结清同一估价时点的被征收房屋价值与用于产权调换房屋价值的差价。</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2.按被征收房屋的建筑面积1:1.2产权调换安置房的建筑面积，不结算差价。</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3.按被征收房屋的建筑面积1:1产权调换安置房屋的套内建筑面积，不结算差价。</w:t>
      </w:r>
    </w:p>
    <w:p>
      <w:pPr>
        <w:spacing w:line="54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2或3</w:t>
      </w:r>
      <w:r>
        <w:rPr>
          <w:rFonts w:hint="default" w:ascii="Times New Roman" w:hAnsi="Times New Roman" w:eastAsia="仿宋_GB2312" w:cs="Times New Roman"/>
          <w:color w:val="000000" w:themeColor="text1"/>
          <w:sz w:val="32"/>
          <w:szCs w:val="32"/>
          <w14:textFill>
            <w14:solidFill>
              <w14:schemeClr w14:val="tx1"/>
            </w14:solidFill>
          </w14:textFill>
        </w:rPr>
        <w:t>方式进行产权调换后，超出或不足部分，结算差价。</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lang w:eastAsia="zh-CN"/>
          <w14:textFill>
            <w14:solidFill>
              <w14:schemeClr w14:val="tx1"/>
            </w14:solidFill>
          </w14:textFill>
        </w:rPr>
        <w:t>（三）非住宅类房屋产权调换方式</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eastAsia="zh-CN"/>
          <w14:textFill>
            <w14:solidFill>
              <w14:schemeClr w14:val="tx1"/>
            </w14:solidFill>
          </w14:textFill>
        </w:rPr>
        <w:t>被征收人选择房屋征收部门提供的非住宅房屋进行产权调换的，计算、</w:t>
      </w:r>
      <w:r>
        <w:rPr>
          <w:rFonts w:hint="default" w:ascii="Times New Roman" w:hAnsi="Times New Roman" w:eastAsia="仿宋" w:cs="Times New Roman"/>
          <w:color w:val="000000" w:themeColor="text1"/>
          <w:sz w:val="32"/>
          <w:szCs w:val="32"/>
          <w14:textFill>
            <w14:solidFill>
              <w14:schemeClr w14:val="tx1"/>
            </w14:solidFill>
          </w14:textFill>
        </w:rPr>
        <w:t>结清同一估价时点的被征收房屋价值与用于产权调换房屋价值的差价</w:t>
      </w:r>
      <w:r>
        <w:rPr>
          <w:rFonts w:hint="default" w:ascii="Times New Roman" w:hAnsi="Times New Roman" w:eastAsia="仿宋" w:cs="Times New Roman"/>
          <w:color w:val="000000" w:themeColor="text1"/>
          <w:sz w:val="32"/>
          <w:szCs w:val="32"/>
          <w:lang w:eastAsia="zh-CN"/>
          <w14:textFill>
            <w14:solidFill>
              <w14:schemeClr w14:val="tx1"/>
            </w14:solidFill>
          </w14:textFill>
        </w:rPr>
        <w:t>。按被征收非住宅房屋的建筑面积</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1:1</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产权调换安置房屋的套内建筑面积，不计算差价，</w:t>
      </w:r>
      <w:r>
        <w:rPr>
          <w:rFonts w:hint="default" w:ascii="Times New Roman" w:hAnsi="Times New Roman" w:eastAsia="仿宋" w:cs="Times New Roman"/>
          <w:color w:val="000000" w:themeColor="text1"/>
          <w:sz w:val="32"/>
          <w:szCs w:val="32"/>
          <w14:textFill>
            <w14:solidFill>
              <w14:schemeClr w14:val="tx1"/>
            </w14:solidFill>
          </w14:textFill>
        </w:rPr>
        <w:t>超出或不足部分，结算差价。</w:t>
      </w:r>
    </w:p>
    <w:p>
      <w:pPr>
        <w:keepNext w:val="0"/>
        <w:keepLines w:val="0"/>
        <w:widowControl/>
        <w:numPr>
          <w:ilvl w:val="0"/>
          <w:numId w:val="0"/>
        </w:numPr>
        <w:suppressLineNumbers w:val="0"/>
        <w:ind w:firstLine="643" w:firstLineChars="200"/>
        <w:jc w:val="left"/>
        <w:rPr>
          <w:rFonts w:hint="default" w:ascii="Times New Roman" w:hAnsi="Times New Roman" w:eastAsia="仿宋_GB2312" w:cs="Times New Roman"/>
          <w:b/>
          <w:bCs/>
          <w:color w:val="000000" w:themeColor="text1"/>
          <w:kern w:val="0"/>
          <w:sz w:val="32"/>
          <w:szCs w:val="32"/>
          <w:shd w:val="clear" w:color="auto" w:fill="auto"/>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shd w:val="clear" w:color="auto" w:fill="auto"/>
          <w:lang w:val="en-US" w:eastAsia="zh-CN" w:bidi="ar"/>
          <w14:textFill>
            <w14:solidFill>
              <w14:schemeClr w14:val="tx1"/>
            </w14:solidFill>
          </w14:textFill>
        </w:rPr>
        <w:t>三、住宅</w:t>
      </w:r>
      <w:r>
        <w:rPr>
          <w:rFonts w:hint="eastAsia" w:eastAsia="仿宋_GB2312" w:cs="Times New Roman"/>
          <w:b/>
          <w:bCs/>
          <w:color w:val="000000" w:themeColor="text1"/>
          <w:kern w:val="0"/>
          <w:sz w:val="32"/>
          <w:szCs w:val="32"/>
          <w:shd w:val="clear" w:color="auto" w:fill="auto"/>
          <w:lang w:val="en-US" w:eastAsia="zh-CN" w:bidi="ar"/>
          <w14:textFill>
            <w14:solidFill>
              <w14:schemeClr w14:val="tx1"/>
            </w14:solidFill>
          </w14:textFill>
        </w:rPr>
        <w:t>类</w:t>
      </w:r>
      <w:r>
        <w:rPr>
          <w:rFonts w:hint="default" w:ascii="Times New Roman" w:hAnsi="Times New Roman" w:eastAsia="仿宋_GB2312" w:cs="Times New Roman"/>
          <w:b/>
          <w:bCs/>
          <w:color w:val="000000" w:themeColor="text1"/>
          <w:kern w:val="0"/>
          <w:sz w:val="32"/>
          <w:szCs w:val="32"/>
          <w:shd w:val="clear" w:color="auto" w:fill="auto"/>
          <w:lang w:val="en-US" w:eastAsia="zh-CN" w:bidi="ar"/>
          <w14:textFill>
            <w14:solidFill>
              <w14:schemeClr w14:val="tx1"/>
            </w14:solidFill>
          </w14:textFill>
        </w:rPr>
        <w:t xml:space="preserve">房屋最低补偿标准 </w:t>
      </w:r>
    </w:p>
    <w:p>
      <w:pPr>
        <w:keepNext w:val="0"/>
        <w:keepLines w:val="0"/>
        <w:widowControl/>
        <w:suppressLineNumbers w:val="0"/>
        <w:ind w:firstLine="620" w:firstLineChars="200"/>
        <w:jc w:val="left"/>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被征收住宅房屋进行产权调换后，不结算差价建筑面积达不到</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48</w:t>
      </w:r>
      <w:r>
        <w:rPr>
          <w:rFonts w:hint="default" w:ascii="Times New Roman" w:hAnsi="Times New Roman" w:eastAsia="FZSongS-Extended"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户的，按</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48</w:t>
      </w:r>
      <w:r>
        <w:rPr>
          <w:rFonts w:hint="default" w:ascii="Times New Roman" w:hAnsi="Times New Roman" w:eastAsia="FZSongS-Extended"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户安置。被征收住宅房屋实行货币补偿且被征收住宅房屋建筑面积不足</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48</w:t>
      </w:r>
      <w:r>
        <w:rPr>
          <w:rFonts w:hint="default" w:ascii="Times New Roman" w:hAnsi="Times New Roman" w:eastAsia="FZSongS-Extended"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的，按</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48</w:t>
      </w:r>
      <w:r>
        <w:rPr>
          <w:rFonts w:hint="default" w:ascii="Times New Roman" w:hAnsi="Times New Roman" w:eastAsia="FZSongS-Extended"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1"/>
          <w:szCs w:val="31"/>
          <w:lang w:val="en-US" w:eastAsia="zh-CN" w:bidi="ar"/>
          <w14:textFill>
            <w14:solidFill>
              <w14:schemeClr w14:val="tx1"/>
            </w14:solidFill>
          </w14:textFill>
        </w:rPr>
        <w:t>户补偿。</w:t>
      </w:r>
    </w:p>
    <w:p>
      <w:pPr>
        <w:keepNext w:val="0"/>
        <w:keepLines w:val="0"/>
        <w:widowControl/>
        <w:numPr>
          <w:ilvl w:val="0"/>
          <w:numId w:val="0"/>
        </w:numPr>
        <w:suppressLineNumbers w:val="0"/>
        <w:ind w:firstLine="643" w:firstLineChars="200"/>
        <w:jc w:val="left"/>
        <w:rPr>
          <w:rFonts w:hint="default" w:ascii="Times New Roman" w:hAnsi="Times New Roman" w:eastAsia="仿宋_GB2312" w:cs="Times New Roman"/>
          <w:b/>
          <w:bCs/>
          <w:color w:val="000000" w:themeColor="text1"/>
          <w:kern w:val="0"/>
          <w:sz w:val="32"/>
          <w:szCs w:val="32"/>
          <w:shd w:val="clear" w:color="auto" w:fill="auto"/>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lang w:eastAsia="zh-CN"/>
          <w14:textFill>
            <w14:solidFill>
              <w14:schemeClr w14:val="tx1"/>
            </w14:solidFill>
          </w14:textFill>
        </w:rPr>
        <w:t>四、住宅类房屋</w:t>
      </w:r>
      <w:r>
        <w:rPr>
          <w:rFonts w:hint="default" w:ascii="Times New Roman" w:hAnsi="Times New Roman" w:eastAsia="仿宋_GB2312" w:cs="Times New Roman"/>
          <w:b/>
          <w:bCs/>
          <w:color w:val="000000" w:themeColor="text1"/>
          <w:kern w:val="0"/>
          <w:sz w:val="32"/>
          <w:szCs w:val="32"/>
          <w:shd w:val="clear" w:color="auto" w:fill="auto"/>
          <w:lang w:val="en-US" w:eastAsia="zh-CN" w:bidi="ar"/>
          <w14:textFill>
            <w14:solidFill>
              <w14:schemeClr w14:val="tx1"/>
            </w14:solidFill>
          </w14:textFill>
        </w:rPr>
        <w:t>房票安置</w:t>
      </w:r>
    </w:p>
    <w:p>
      <w:pPr>
        <w:keepNext w:val="0"/>
        <w:keepLines w:val="0"/>
        <w:widowControl/>
        <w:suppressLineNumbers w:val="0"/>
        <w:ind w:firstLine="620" w:firstLineChars="200"/>
        <w:jc w:val="left"/>
        <w:rPr>
          <w:rFonts w:hint="default" w:ascii="Times New Roman" w:hAnsi="Times New Roman" w:cs="Times New Roman"/>
          <w:color w:val="000000" w:themeColor="text1"/>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1"/>
          <w:szCs w:val="31"/>
          <w:shd w:val="clear" w:color="auto" w:fill="auto"/>
          <w:lang w:val="en-US" w:eastAsia="zh-CN" w:bidi="ar"/>
          <w14:textFill>
            <w14:solidFill>
              <w14:schemeClr w14:val="tx1"/>
            </w14:solidFill>
          </w14:textFill>
        </w:rPr>
        <w:t>被征</w:t>
      </w:r>
      <w:r>
        <w:rPr>
          <w:rFonts w:hint="eastAsia" w:eastAsia="仿宋_GB2312" w:cs="Times New Roman"/>
          <w:color w:val="000000" w:themeColor="text1"/>
          <w:kern w:val="0"/>
          <w:sz w:val="31"/>
          <w:szCs w:val="31"/>
          <w:shd w:val="clear" w:color="auto" w:fill="auto"/>
          <w:lang w:val="en-US" w:eastAsia="zh-CN" w:bidi="ar"/>
          <w14:textFill>
            <w14:solidFill>
              <w14:schemeClr w14:val="tx1"/>
            </w14:solidFill>
          </w14:textFill>
        </w:rPr>
        <w:t>收</w:t>
      </w:r>
      <w:r>
        <w:rPr>
          <w:rFonts w:hint="default" w:ascii="Times New Roman" w:hAnsi="Times New Roman" w:eastAsia="仿宋_GB2312" w:cs="Times New Roman"/>
          <w:color w:val="000000" w:themeColor="text1"/>
          <w:kern w:val="0"/>
          <w:sz w:val="31"/>
          <w:szCs w:val="31"/>
          <w:shd w:val="clear" w:color="auto" w:fill="auto"/>
          <w:lang w:val="en-US" w:eastAsia="zh-CN" w:bidi="ar"/>
          <w14:textFill>
            <w14:solidFill>
              <w14:schemeClr w14:val="tx1"/>
            </w14:solidFill>
          </w14:textFill>
        </w:rPr>
        <w:t>人可选择使用房票购买新建商品住宅或政府提供的住宅安置用房（不含市场二手住房）用于安置。在房屋征收部门通知签订房屋征收补偿期限内签约的，住宅房票面值</w:t>
      </w:r>
      <w:r>
        <w:rPr>
          <w:rFonts w:hint="default" w:ascii="Times New Roman" w:hAnsi="Times New Roman" w:eastAsia="宋体" w:cs="Times New Roman"/>
          <w:color w:val="000000" w:themeColor="text1"/>
          <w:kern w:val="0"/>
          <w:sz w:val="31"/>
          <w:szCs w:val="31"/>
          <w:shd w:val="clear" w:color="auto" w:fill="auto"/>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1"/>
          <w:szCs w:val="31"/>
          <w:shd w:val="clear" w:color="auto" w:fill="auto"/>
          <w:lang w:val="en-US" w:eastAsia="zh-CN" w:bidi="ar"/>
          <w14:textFill>
            <w14:solidFill>
              <w14:schemeClr w14:val="tx1"/>
            </w14:solidFill>
          </w14:textFill>
        </w:rPr>
        <w:t>项目内新建安置房房地产市场评估单价</w:t>
      </w:r>
      <w:r>
        <w:rPr>
          <w:rFonts w:hint="default" w:ascii="Times New Roman" w:hAnsi="Times New Roman" w:eastAsia="宋体" w:cs="Times New Roman"/>
          <w:color w:val="000000" w:themeColor="text1"/>
          <w:kern w:val="0"/>
          <w:sz w:val="31"/>
          <w:szCs w:val="31"/>
          <w:shd w:val="clear" w:color="auto" w:fill="auto"/>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1"/>
          <w:szCs w:val="31"/>
          <w:shd w:val="clear" w:color="auto" w:fill="auto"/>
          <w:lang w:val="en-US" w:eastAsia="zh-CN" w:bidi="ar"/>
          <w14:textFill>
            <w14:solidFill>
              <w14:schemeClr w14:val="tx1"/>
            </w14:solidFill>
          </w14:textFill>
        </w:rPr>
        <w:t>应安置面积。</w:t>
      </w:r>
    </w:p>
    <w:p>
      <w:pPr>
        <w:keepNext w:val="0"/>
        <w:keepLines w:val="0"/>
        <w:widowControl/>
        <w:suppressLineNumbers w:val="0"/>
        <w:ind w:firstLine="620" w:firstLineChars="200"/>
        <w:jc w:val="left"/>
        <w:rPr>
          <w:rFonts w:hint="default" w:ascii="Times New Roman" w:hAnsi="Times New Roman" w:eastAsia="仿宋_GB2312" w:cs="Times New Roman"/>
          <w:b/>
          <w:bCs/>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1"/>
          <w:szCs w:val="31"/>
          <w:shd w:val="clear" w:color="auto" w:fill="auto"/>
          <w:lang w:val="en-US" w:eastAsia="zh-CN" w:bidi="ar"/>
          <w14:textFill>
            <w14:solidFill>
              <w14:schemeClr w14:val="tx1"/>
            </w14:solidFill>
          </w14:textFill>
        </w:rPr>
        <w:t>关于发票的发放、登记、核销、结算、奖励等事宜具体以《柳州市征拆住宅房屋房票安置暂行办法》为准。</w:t>
      </w:r>
    </w:p>
    <w:p>
      <w:pPr>
        <w:spacing w:line="540" w:lineRule="exact"/>
        <w:ind w:firstLine="643" w:firstLineChars="200"/>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lang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、房屋装修装饰补偿</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20" w:lineRule="exact"/>
        <w:ind w:left="0" w:right="0" w:firstLine="620" w:firstLineChars="200"/>
        <w:jc w:val="both"/>
        <w:textAlignment w:val="auto"/>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1"/>
          <w:szCs w:val="31"/>
          <w:shd w:val="clear" w:color="auto" w:fill="auto"/>
          <w:lang w:val="en-US" w:eastAsia="zh-CN" w:bidi="ar"/>
          <w14:textFill>
            <w14:solidFill>
              <w14:schemeClr w14:val="tx1"/>
            </w14:solidFill>
          </w14:textFill>
        </w:rPr>
        <w:t>经选定的房地产价格评估机构出具的房屋装饰装修分类评估结果做为房屋征收当事人双方协商、补偿房屋装修装饰的依据。</w:t>
      </w:r>
    </w:p>
    <w:p>
      <w:pPr>
        <w:spacing w:line="540" w:lineRule="exact"/>
        <w:ind w:firstLine="643" w:firstLineChars="200"/>
        <w:rPr>
          <w:rFonts w:hint="default" w:ascii="Times New Roman" w:hAnsi="Times New Roman" w:eastAsia="仿宋_GB2312" w:cs="Times New Roman"/>
          <w:b/>
          <w:bCs/>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lang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、临时安置费</w:t>
      </w:r>
      <w:r>
        <w:rPr>
          <w:rFonts w:hint="default" w:ascii="Times New Roman" w:hAnsi="Times New Roman" w:eastAsia="仿宋_GB2312" w:cs="Times New Roman"/>
          <w:b/>
          <w:bCs/>
          <w:color w:val="000000" w:themeColor="text1"/>
          <w:sz w:val="32"/>
          <w:szCs w:val="32"/>
          <w:shd w:val="clear" w:color="auto" w:fill="auto"/>
          <w:lang w:eastAsia="zh-CN"/>
          <w14:textFill>
            <w14:solidFill>
              <w14:schemeClr w14:val="tx1"/>
            </w14:solidFill>
          </w14:textFill>
        </w:rPr>
        <w:t>补偿</w:t>
      </w: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及搬迁</w:t>
      </w:r>
      <w:r>
        <w:rPr>
          <w:rFonts w:hint="default" w:ascii="Times New Roman" w:hAnsi="Times New Roman" w:eastAsia="仿宋_GB2312" w:cs="Times New Roman"/>
          <w:b/>
          <w:bCs/>
          <w:color w:val="000000" w:themeColor="text1"/>
          <w:sz w:val="32"/>
          <w:szCs w:val="32"/>
          <w:shd w:val="clear" w:color="auto" w:fill="auto"/>
          <w:lang w:eastAsia="zh-CN"/>
          <w14:textFill>
            <w14:solidFill>
              <w14:schemeClr w14:val="tx1"/>
            </w14:solidFill>
          </w14:textFill>
        </w:rPr>
        <w:t>补偿</w:t>
      </w:r>
    </w:p>
    <w:p>
      <w:pPr>
        <w:spacing w:line="540" w:lineRule="exact"/>
        <w:ind w:firstLine="640" w:firstLineChars="200"/>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（一）临时安置费</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补偿</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与过渡期限</w:t>
      </w:r>
    </w:p>
    <w:p>
      <w:pPr>
        <w:spacing w:line="540" w:lineRule="exact"/>
        <w:ind w:firstLine="640" w:firstLineChars="200"/>
        <w:jc w:val="left"/>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临时安置的补偿标准为被征收房屋分类评估价格的3‰/ ㎡·月确定，按被征收房屋建筑面积支付临时安置费。住宅临时安置费最低计算面积为60㎡。</w:t>
      </w:r>
    </w:p>
    <w:p>
      <w:pPr>
        <w:spacing w:line="540" w:lineRule="exact"/>
        <w:ind w:firstLine="640" w:firstLineChars="200"/>
        <w:jc w:val="left"/>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向被征收人提供的住宅周转用房设定最低保障面积（建筑面积）60 ㎡/套，被征收人选择房屋征收部门提供的住宅周转用房建筑面积不足60 ㎡/套的，不足部分按上述确定的临时安置补偿标准给予被征收人货币补偿。</w:t>
      </w:r>
    </w:p>
    <w:p>
      <w:pPr>
        <w:spacing w:line="540" w:lineRule="exact"/>
        <w:ind w:firstLine="640" w:firstLineChars="200"/>
        <w:jc w:val="left"/>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被征收人选择货币补偿的，一次性支付3个月的临时安置费；被征收人选择产权调换并自行安排过渡的，临时安置费从被征收人签订补偿协议并移交房屋之日起计算，支付至产权调换房屋交付给被征收人后3个月止。</w:t>
      </w:r>
    </w:p>
    <w:p>
      <w:pPr>
        <w:spacing w:line="540" w:lineRule="exact"/>
        <w:ind w:firstLine="640" w:firstLineChars="200"/>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（二）搬迁</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补偿</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ab/>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2"/>
          <w:sz w:val="32"/>
          <w:szCs w:val="32"/>
          <w:shd w:val="clear" w:color="auto" w:fill="auto"/>
          <w:lang w:val="en-US" w:eastAsia="zh-CN" w:bidi="ar"/>
          <w14:textFill>
            <w14:solidFill>
              <w14:schemeClr w14:val="tx1"/>
            </w14:solidFill>
          </w14:textFill>
        </w:rPr>
        <w:t>住宅房屋搬迁补偿标准为15元/㎡，按被征收房屋建筑面积支付搬迁费。住宅房屋的搬迁费最低不少于900元/户。</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2"/>
          <w:sz w:val="32"/>
          <w:szCs w:val="32"/>
          <w:shd w:val="clear" w:color="auto" w:fill="auto"/>
          <w:lang w:val="en-US" w:eastAsia="zh-CN" w:bidi="ar"/>
          <w14:textFill>
            <w14:solidFill>
              <w14:schemeClr w14:val="tx1"/>
            </w14:solidFill>
          </w14:textFill>
        </w:rPr>
        <w:t>非住宅房屋搬迁补偿标准为15元/㎡，或者由具备相应资质的评估机构通过评估方式确定货物搬迁、设备设施拆装、调试和运输等搬迁补偿。</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20" w:lineRule="exact"/>
        <w:ind w:left="0" w:right="0" w:firstLine="640" w:firstLineChars="200"/>
        <w:jc w:val="both"/>
        <w:textAlignment w:val="auto"/>
        <w:rPr>
          <w:rFonts w:hint="default" w:ascii="Times New Roman" w:hAnsi="Times New Roman" w:cs="Times New Roman"/>
          <w:color w:val="000000" w:themeColor="text1"/>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2"/>
          <w:sz w:val="32"/>
          <w:szCs w:val="32"/>
          <w:shd w:val="clear" w:color="auto" w:fill="auto"/>
          <w:lang w:val="en-US" w:eastAsia="zh-CN" w:bidi="ar"/>
          <w14:textFill>
            <w14:solidFill>
              <w14:schemeClr w14:val="tx1"/>
            </w14:solidFill>
          </w14:textFill>
        </w:rPr>
        <w:t>因征收人原因造成2次以上搬迁的，按实际搬迁次数支付搬迁费。</w:t>
      </w:r>
    </w:p>
    <w:p>
      <w:pPr>
        <w:spacing w:line="540" w:lineRule="exact"/>
        <w:ind w:firstLine="643" w:firstLineChars="200"/>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pPr>
      <w:r>
        <w:rPr>
          <w:rFonts w:hint="eastAsia" w:eastAsia="仿宋_GB2312" w:cs="Times New Roman"/>
          <w:b/>
          <w:bCs/>
          <w:color w:val="000000" w:themeColor="text1"/>
          <w:sz w:val="32"/>
          <w:szCs w:val="32"/>
          <w:shd w:val="clear" w:color="auto" w:fill="auto"/>
          <w:lang w:eastAsia="zh-CN"/>
          <w14:textFill>
            <w14:solidFill>
              <w14:schemeClr w14:val="tx1"/>
            </w14:solidFill>
          </w14:textFill>
        </w:rPr>
        <w:t>七</w:t>
      </w: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、停产停业损失补偿</w:t>
      </w:r>
    </w:p>
    <w:p>
      <w:pPr>
        <w:keepNext w:val="0"/>
        <w:keepLines w:val="0"/>
        <w:widowControl/>
        <w:suppressLineNumbers w:val="0"/>
        <w:ind w:firstLine="640" w:firstLineChars="200"/>
        <w:jc w:val="left"/>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因征收</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非住宅</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房屋造成停产停业的，房屋征收部门</w:t>
      </w: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给予</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被征收人</w:t>
      </w:r>
      <w:r>
        <w:rPr>
          <w:rFonts w:hint="default" w:ascii="Times New Roman" w:hAnsi="Times New Roman" w:eastAsia="仿宋_GB2312" w:cs="Times New Roman"/>
          <w:color w:val="000000" w:themeColor="text1"/>
          <w:kern w:val="0"/>
          <w:sz w:val="31"/>
          <w:szCs w:val="31"/>
          <w:shd w:val="clear" w:color="auto" w:fill="auto"/>
          <w:lang w:val="en-US" w:eastAsia="zh-CN" w:bidi="ar"/>
          <w14:textFill>
            <w14:solidFill>
              <w14:schemeClr w14:val="tx1"/>
            </w14:solidFill>
          </w14:textFill>
        </w:rPr>
        <w:t>非住宅房屋货币补偿金额</w:t>
      </w:r>
      <w:r>
        <w:rPr>
          <w:rFonts w:hint="default" w:ascii="Times New Roman" w:hAnsi="Times New Roman" w:eastAsia="宋体" w:cs="Times New Roman"/>
          <w:color w:val="000000" w:themeColor="text1"/>
          <w:kern w:val="0"/>
          <w:sz w:val="31"/>
          <w:szCs w:val="31"/>
          <w:shd w:val="clear" w:color="auto" w:fill="auto"/>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0"/>
          <w:sz w:val="31"/>
          <w:szCs w:val="31"/>
          <w:shd w:val="clear" w:color="auto" w:fill="auto"/>
          <w:lang w:val="en-US" w:eastAsia="zh-CN" w:bidi="ar"/>
          <w14:textFill>
            <w14:solidFill>
              <w14:schemeClr w14:val="tx1"/>
            </w14:solidFill>
          </w14:textFill>
        </w:rPr>
        <w:t xml:space="preserve">的停产停业损失补偿。 </w:t>
      </w:r>
    </w:p>
    <w:p>
      <w:pPr>
        <w:spacing w:line="540" w:lineRule="exact"/>
        <w:ind w:firstLine="640" w:firstLineChars="200"/>
        <w:jc w:val="center"/>
        <w:rPr>
          <w:rFonts w:hint="default" w:ascii="Times New Roman" w:hAnsi="Times New Roman" w:eastAsia="黑体"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auto"/>
          <w14:textFill>
            <w14:solidFill>
              <w14:schemeClr w14:val="tx1"/>
            </w14:solidFill>
          </w14:textFill>
        </w:rPr>
        <w:t>第三部分 补助和奖励</w:t>
      </w:r>
    </w:p>
    <w:p>
      <w:pPr>
        <w:spacing w:line="540" w:lineRule="exact"/>
        <w:ind w:firstLine="643" w:firstLineChars="200"/>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auto"/>
          <w14:textFill>
            <w14:solidFill>
              <w14:schemeClr w14:val="tx1"/>
            </w14:solidFill>
          </w14:textFill>
        </w:rPr>
        <w:t>一、补助</w:t>
      </w:r>
    </w:p>
    <w:p>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620"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被征收住宅房屋产权人及其权证户籍（不动产证、房屋所有权证或户口簿）内直系亲属有以下情况之一的，一次性给予3万元/户的补助：</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（一）经民政部门核定享受城镇居民最低生活保障的；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（二）生活困难的孤老或无劳动能力的残疾人员；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（三）烈属、伤残军人；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（四）患重大疾病且符合医疗救助条件的。</w:t>
      </w:r>
    </w:p>
    <w:p>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620" w:lineRule="exact"/>
        <w:ind w:left="0" w:right="0" w:firstLine="630" w:firstLineChars="197"/>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本条规定的上述情形认定工作，由城区政府组织辖区内民政、人力资源社会保障、医保、退役军人事务等部门确定。</w:t>
      </w:r>
    </w:p>
    <w:p>
      <w:pPr>
        <w:pStyle w:val="2"/>
        <w:rPr>
          <w:rFonts w:hint="default" w:ascii="Times New Roman" w:hAnsi="Times New Roman" w:eastAsia="仿宋_GB2312" w:cs="Times New Roman"/>
          <w:b w:val="0"/>
          <w:bCs w:val="0"/>
          <w:color w:val="000000" w:themeColor="text1"/>
          <w:kern w:val="0"/>
          <w:sz w:val="32"/>
          <w:szCs w:val="32"/>
          <w:shd w:val="clear" w:color="auto" w:fill="auto"/>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shd w:val="clear" w:color="auto" w:fill="auto"/>
          <w:lang w:val="en-US" w:eastAsia="zh-CN" w:bidi="ar"/>
          <w14:textFill>
            <w14:solidFill>
              <w14:schemeClr w14:val="tx1"/>
            </w14:solidFill>
          </w14:textFill>
        </w:rPr>
        <w:t>房屋征收部门应当在征收范围内将补助情况公示5日。</w:t>
      </w:r>
    </w:p>
    <w:p>
      <w:pPr>
        <w:numPr>
          <w:ilvl w:val="0"/>
          <w:numId w:val="2"/>
        </w:numPr>
        <w:spacing w:line="540" w:lineRule="exact"/>
        <w:ind w:left="0" w:leftChars="0" w:firstLine="643" w:firstLineChars="200"/>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奖励</w:t>
      </w:r>
    </w:p>
    <w:p>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被征收人在规定的期限内签订房屋征收补偿协议并搬迁完毕的，按被征收房屋的产权建筑面积给予被征收人奖励，奖励标准为：</w:t>
      </w:r>
    </w:p>
    <w:p>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620" w:lineRule="exact"/>
        <w:ind w:left="0" w:right="0" w:firstLine="480" w:firstLineChars="150"/>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（一）自房屋征收部门通知签订房屋征收补偿协议之日起30日内签订征收补偿协议并在搬迁期限内搬迁完毕的，每平方米奖励500元。</w:t>
      </w:r>
    </w:p>
    <w:p>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620" w:lineRule="exact"/>
        <w:ind w:left="0" w:right="0" w:firstLine="525"/>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6"/>
          <w:kern w:val="0"/>
          <w:sz w:val="32"/>
          <w:szCs w:val="32"/>
          <w:shd w:val="clear" w:color="auto" w:fill="auto"/>
          <w:lang w:val="en-US" w:eastAsia="zh-CN" w:bidi="ar"/>
          <w14:textFill>
            <w14:solidFill>
              <w14:schemeClr w14:val="tx1"/>
            </w14:solidFill>
          </w14:textFill>
        </w:rPr>
        <w:t>（二）自房屋征收部门通知签订房屋征收补偿协议之日起31—60</w:t>
      </w: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日内签订征收补偿</w:t>
      </w:r>
      <w:r>
        <w:rPr>
          <w:rFonts w:hint="default" w:ascii="Times New Roman" w:hAnsi="Times New Roman" w:eastAsia="仿宋_GB2312" w:cs="Times New Roman"/>
          <w:color w:val="000000" w:themeColor="text1"/>
          <w:spacing w:val="0"/>
          <w:kern w:val="0"/>
          <w:sz w:val="32"/>
          <w:szCs w:val="32"/>
          <w:shd w:val="clear" w:color="auto" w:fill="auto"/>
          <w:lang w:val="en-US" w:eastAsia="zh-CN" w:bidi="ar"/>
          <w14:textFill>
            <w14:solidFill>
              <w14:schemeClr w14:val="tx1"/>
            </w14:solidFill>
          </w14:textFill>
        </w:rPr>
        <w:t>协议并在搬迁期限内搬迁完毕的，每平方米奖励200元。</w:t>
      </w:r>
    </w:p>
    <w:p>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620" w:lineRule="exact"/>
        <w:ind w:left="0" w:right="0" w:firstLine="525"/>
        <w:jc w:val="both"/>
        <w:textAlignment w:val="auto"/>
        <w:rPr>
          <w:rFonts w:hint="default" w:ascii="Times New Roman" w:hAnsi="Times New Roman" w:eastAsia="仿宋_GB2312" w:cs="Times New Roman"/>
          <w:color w:val="000000" w:themeColor="text1"/>
          <w:kern w:val="0"/>
          <w:sz w:val="32"/>
          <w:szCs w:val="32"/>
          <w:shd w:val="clear" w:color="auto" w:fill="auto"/>
          <w14:textFill>
            <w14:solidFill>
              <w14:schemeClr w14:val="tx1"/>
            </w14:solidFill>
          </w14:textFill>
        </w:rPr>
      </w:pPr>
      <w:r>
        <w:rPr>
          <w:rFonts w:hint="default" w:ascii="Times New Roman" w:hAnsi="Times New Roman" w:eastAsia="仿宋_GB2312" w:cs="Times New Roman"/>
          <w:color w:val="000000" w:themeColor="text1"/>
          <w:kern w:val="2"/>
          <w:sz w:val="32"/>
          <w:szCs w:val="32"/>
          <w:shd w:val="clear" w:color="auto" w:fill="auto"/>
          <w:lang w:val="en-US" w:eastAsia="zh-CN" w:bidi="ar"/>
          <w14:textFill>
            <w14:solidFill>
              <w14:schemeClr w14:val="tx1"/>
            </w14:solidFill>
          </w14:textFill>
        </w:rPr>
        <w:t>在规定的期限内未签订征收补偿协议的，取消以上补助和奖励</w:t>
      </w:r>
      <w:r>
        <w:rPr>
          <w:rFonts w:hint="default" w:ascii="Times New Roman" w:hAnsi="Times New Roman" w:eastAsia="仿宋_GB2312" w:cs="Times New Roman"/>
          <w:color w:val="000000" w:themeColor="text1"/>
          <w:kern w:val="0"/>
          <w:sz w:val="32"/>
          <w:szCs w:val="32"/>
          <w:shd w:val="clear" w:color="auto" w:fill="auto"/>
          <w:lang w:val="en-US" w:eastAsia="zh-CN" w:bidi="ar"/>
          <w14:textFill>
            <w14:solidFill>
              <w14:schemeClr w14:val="tx1"/>
            </w14:solidFill>
          </w14:textFill>
        </w:rPr>
        <w:t>。</w:t>
      </w:r>
    </w:p>
    <w:p>
      <w:pPr>
        <w:pStyle w:val="2"/>
        <w:rPr>
          <w:rFonts w:hint="default" w:ascii="Times New Roman" w:hAnsi="Times New Roman" w:cs="Times New Roman"/>
          <w:color w:val="000000" w:themeColor="text1"/>
          <w14:textFill>
            <w14:solidFill>
              <w14:schemeClr w14:val="tx1"/>
            </w14:solidFill>
          </w14:textFill>
        </w:rPr>
      </w:pPr>
    </w:p>
    <w:p>
      <w:pPr>
        <w:spacing w:line="540" w:lineRule="exact"/>
        <w:ind w:firstLine="640" w:firstLineChars="200"/>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第四部分 房屋征收程序</w:t>
      </w:r>
    </w:p>
    <w:p>
      <w:pPr>
        <w:spacing w:line="54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一、签约期限：</w:t>
      </w:r>
      <w:r>
        <w:rPr>
          <w:rFonts w:hint="default" w:ascii="Times New Roman" w:hAnsi="Times New Roman" w:eastAsia="仿宋_GB2312" w:cs="Times New Roman"/>
          <w:color w:val="000000" w:themeColor="text1"/>
          <w:sz w:val="32"/>
          <w:szCs w:val="32"/>
          <w14:textFill>
            <w14:solidFill>
              <w14:schemeClr w14:val="tx1"/>
            </w14:solidFill>
          </w14:textFill>
        </w:rPr>
        <w:t>自公布通知签订征收补偿协议之日起60</w:t>
      </w:r>
      <w:r>
        <w:rPr>
          <w:rFonts w:hint="default" w:ascii="Times New Roman" w:hAnsi="Times New Roman" w:eastAsia="仿宋" w:cs="Times New Roman"/>
          <w:color w:val="000000" w:themeColor="text1"/>
          <w:sz w:val="32"/>
          <w:szCs w:val="32"/>
          <w14:textFill>
            <w14:solidFill>
              <w14:schemeClr w14:val="tx1"/>
            </w14:solidFill>
          </w14:textFill>
        </w:rPr>
        <w:t>日</w:t>
      </w:r>
      <w:r>
        <w:rPr>
          <w:rFonts w:hint="default" w:ascii="Times New Roman" w:hAnsi="Times New Roman" w:eastAsia="仿宋_GB2312" w:cs="Times New Roman"/>
          <w:color w:val="000000" w:themeColor="text1"/>
          <w:sz w:val="32"/>
          <w:szCs w:val="32"/>
          <w14:textFill>
            <w14:solidFill>
              <w14:schemeClr w14:val="tx1"/>
            </w14:solidFill>
          </w14:textFill>
        </w:rPr>
        <w:t>内。</w:t>
      </w:r>
    </w:p>
    <w:p>
      <w:pPr>
        <w:spacing w:line="54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二、作出补偿决定：</w:t>
      </w:r>
      <w:r>
        <w:rPr>
          <w:rFonts w:hint="default" w:ascii="Times New Roman" w:hAnsi="Times New Roman" w:eastAsia="仿宋_GB2312" w:cs="Times New Roman"/>
          <w:color w:val="000000" w:themeColor="text1"/>
          <w:sz w:val="32"/>
          <w:szCs w:val="32"/>
          <w14:textFill>
            <w14:solidFill>
              <w14:schemeClr w14:val="tx1"/>
            </w14:solidFill>
          </w14:textFill>
        </w:rPr>
        <w:t>在签约期限内达不成补偿协议，或者被征收房屋所有权人不明确的，由房屋征收部门报请柳州市城中区人民政府，按照征收补偿方案作出补偿决定，并在房屋征收范围内予以公告。</w:t>
      </w:r>
    </w:p>
    <w:p>
      <w:pPr>
        <w:spacing w:line="540" w:lineRule="exact"/>
        <w:ind w:firstLine="640"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被征收人对补偿决定不服的，可以依法申请行政复议，也可以依法提起行政诉讼。</w:t>
      </w:r>
    </w:p>
    <w:p>
      <w:pPr>
        <w:spacing w:line="54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第五部分 其他</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一、本方案的补偿标准适用于本项目范围内有房屋权属证书的被征收房屋。</w:t>
      </w:r>
    </w:p>
    <w:p>
      <w:pPr>
        <w:spacing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二、本项目征收范围内未经登记的建筑或房屋权属证书记载和房屋实际使用性质不一致的，由城区政府组织有关部门依法进行调查、认定和处理，具体补偿标准另行通知。</w:t>
      </w:r>
    </w:p>
    <w:p>
      <w:pPr>
        <w:snapToGrid w:val="0"/>
        <w:spacing w:line="540" w:lineRule="exact"/>
        <w:ind w:firstLine="627" w:firstLineChars="196"/>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三、本方案自该项目征收决定公告之日起实施。本方案未尽事宜，按照国家法律法规及相关配套政策性文件有关规定执行。</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bCs/>
          <w:color w:val="000000" w:themeColor="text1"/>
          <w:sz w:val="32"/>
          <w:szCs w:val="32"/>
          <w:lang w:val="en-US"/>
          <w14:textFill>
            <w14:solidFill>
              <w14:schemeClr w14:val="tx1"/>
            </w14:solidFill>
          </w14:textFill>
        </w:rPr>
      </w:pPr>
    </w:p>
    <w:p>
      <w:pPr>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60" w:lineRule="exact"/>
        <w:ind w:firstLine="640" w:firstLineChars="200"/>
        <w:jc w:val="center"/>
        <w:rPr>
          <w:rFonts w:hint="default"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spacing w:line="560" w:lineRule="exact"/>
        <w:ind w:firstLine="600" w:firstLineChars="200"/>
        <w:jc w:val="center"/>
        <w:rPr>
          <w:rFonts w:hint="default" w:ascii="Times New Roman" w:hAnsi="Times New Roman" w:cs="Times New Roman"/>
          <w:color w:val="000000" w:themeColor="text1"/>
          <w:sz w:val="30"/>
          <w:szCs w:val="30"/>
          <w14:textFill>
            <w14:solidFill>
              <w14:schemeClr w14:val="tx1"/>
            </w14:solidFill>
          </w14:textFill>
        </w:rPr>
      </w:pPr>
    </w:p>
    <w:p>
      <w:pPr>
        <w:spacing w:line="560" w:lineRule="exact"/>
        <w:ind w:firstLine="600" w:firstLineChars="200"/>
        <w:jc w:val="center"/>
        <w:rPr>
          <w:rFonts w:hint="default" w:ascii="Times New Roman" w:hAnsi="Times New Roman" w:cs="Times New Roman"/>
          <w:color w:val="000000" w:themeColor="text1"/>
          <w:sz w:val="30"/>
          <w:szCs w:val="30"/>
          <w14:textFill>
            <w14:solidFill>
              <w14:schemeClr w14:val="tx1"/>
            </w14:solidFill>
          </w14:textFill>
        </w:rPr>
      </w:pPr>
    </w:p>
    <w:p>
      <w:pPr>
        <w:pStyle w:val="2"/>
        <w:rPr>
          <w:rFonts w:hint="default" w:ascii="Times New Roman" w:hAnsi="Times New Roman" w:cs="Times New Roman"/>
          <w:color w:val="000000" w:themeColor="text1"/>
          <w:sz w:val="30"/>
          <w:szCs w:val="30"/>
          <w14:textFill>
            <w14:solidFill>
              <w14:schemeClr w14:val="tx1"/>
            </w14:solidFill>
          </w14:textFill>
        </w:rPr>
      </w:pPr>
    </w:p>
    <w:p>
      <w:pPr>
        <w:rPr>
          <w:rFonts w:hint="default" w:ascii="Times New Roman" w:hAnsi="Times New Roman" w:cs="Times New Roman"/>
          <w:color w:val="000000" w:themeColor="text1"/>
          <w:sz w:val="30"/>
          <w:szCs w:val="30"/>
          <w14:textFill>
            <w14:solidFill>
              <w14:schemeClr w14:val="tx1"/>
            </w14:solidFill>
          </w14:textFill>
        </w:rPr>
      </w:pPr>
    </w:p>
    <w:p>
      <w:pPr>
        <w:pStyle w:val="2"/>
        <w:rPr>
          <w:rFonts w:hint="default" w:ascii="Times New Roman" w:hAnsi="Times New Roman" w:cs="Times New Roman"/>
          <w:color w:val="000000" w:themeColor="text1"/>
          <w:sz w:val="30"/>
          <w:szCs w:val="30"/>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ind w:left="0" w:leftChars="0" w:firstLine="0" w:firstLineChars="0"/>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560" w:lineRule="exact"/>
        <w:ind w:right="0"/>
        <w:jc w:val="both"/>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560" w:lineRule="exact"/>
        <w:ind w:right="0"/>
        <w:jc w:val="both"/>
        <w:rPr>
          <w:rFonts w:hint="default" w:ascii="Times New Roman" w:hAnsi="Times New Roman" w:cs="Times New Roman"/>
          <w:color w:val="000000" w:themeColor="text1"/>
          <w:sz w:val="30"/>
          <w:szCs w:val="30"/>
          <w:lang w:val="en-US"/>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 xml:space="preserve">                    </w:t>
      </w:r>
    </w:p>
    <w:p>
      <w:pPr>
        <w:spacing w:line="44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277495</wp:posOffset>
                </wp:positionV>
                <wp:extent cx="5753100" cy="1905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753100" cy="1905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21.85pt;height:1.5pt;width:453pt;z-index:251659264;mso-width-relative:page;mso-height-relative:page;" filled="f" stroked="t" coordsize="21600,21600" o:gfxdata="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l/suA2QAAAAgBAAAPAAAAAAAAAAEAIAAAACIAAABkcnMvZG93bnJldi54&#10;bWxQSwECFAAUAAAACACHTuJAMhGcyvkBAADoAwAADgAAAAAAAAABACAAAAAoAQAAZHJzL2Uyb0Rv&#10;Yy54bWxQSwUGAAAAAAYABgBZAQAAkwU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b/>
          <w:color w:val="000000" w:themeColor="text1"/>
          <w:sz w:val="32"/>
          <w:szCs w:val="32"/>
          <w14:textFill>
            <w14:solidFill>
              <w14:schemeClr w14:val="tx1"/>
            </w14:solidFill>
          </w14:textFill>
        </w:rPr>
        <w:t xml:space="preserve">  </w:t>
      </w:r>
    </w:p>
    <w:p>
      <w:pPr>
        <w:spacing w:line="440" w:lineRule="exact"/>
        <w:rPr>
          <w:rFonts w:hint="default"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cs="Times New Roman"/>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321945</wp:posOffset>
                </wp:positionV>
                <wp:extent cx="5753100" cy="1905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753100" cy="1905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25.35pt;height:1.5pt;width:453pt;z-index:251660288;mso-width-relative:page;mso-height-relative:page;" filled="f" stroked="t" coordsize="21600,21600" o:gfxdata="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m9y49kAAAAIAQAADwAAAAAAAAABACAAAAAiAAAAZHJzL2Rvd25yZXYu&#10;eG1sUEsBAhQAFAAAAAgAh07iQHghbEP6AQAA6AMAAA4AAAAAAAAAAQAgAAAAKAEAAGRycy9lMm9E&#10;b2MueG1sUEsFBgAAAAAGAAYAWQEAAJQFA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柳州市城中区人民政府</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办公室</w:t>
      </w:r>
      <w:r>
        <w:rPr>
          <w:rFonts w:hint="default" w:ascii="Times New Roman" w:hAnsi="Times New Roman" w:eastAsia="仿宋_GB2312" w:cs="Times New Roman"/>
          <w:color w:val="000000" w:themeColor="text1"/>
          <w:sz w:val="28"/>
          <w:szCs w:val="28"/>
          <w14:textFill>
            <w14:solidFill>
              <w14:schemeClr w14:val="tx1"/>
            </w14:solidFill>
          </w14:textFill>
        </w:rPr>
        <w:t xml:space="preserve">               202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14:textFill>
            <w14:solidFill>
              <w14:schemeClr w14:val="tx1"/>
            </w14:solidFill>
          </w14:textFill>
        </w:rPr>
        <w:t>年1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eastAsia" w:eastAsia="仿宋_GB2312" w:cs="Times New Roman"/>
          <w:color w:val="000000" w:themeColor="text1"/>
          <w:sz w:val="28"/>
          <w:szCs w:val="28"/>
          <w:lang w:val="en-US" w:eastAsia="zh-CN"/>
          <w14:textFill>
            <w14:solidFill>
              <w14:schemeClr w14:val="tx1"/>
            </w14:solidFill>
          </w14:textFill>
        </w:rPr>
        <w:t>12</w:t>
      </w:r>
      <w:r>
        <w:rPr>
          <w:rFonts w:hint="default" w:ascii="Times New Roman" w:hAnsi="Times New Roman" w:eastAsia="仿宋_GB2312" w:cs="Times New Roman"/>
          <w:color w:val="000000" w:themeColor="text1"/>
          <w:sz w:val="28"/>
          <w:szCs w:val="28"/>
          <w14:textFill>
            <w14:solidFill>
              <w14:schemeClr w14:val="tx1"/>
            </w14:solidFill>
          </w14:textFill>
        </w:rPr>
        <w:t>日印发</w:t>
      </w:r>
      <w:r>
        <w:rPr>
          <w:rFonts w:hint="default" w:ascii="Times New Roman" w:hAnsi="Times New Roman" w:eastAsia="仿宋_GB2312" w:cs="Times New Roman"/>
          <w:color w:val="000000" w:themeColor="text1"/>
          <w:sz w:val="30"/>
          <w:szCs w:val="30"/>
          <w14:textFill>
            <w14:solidFill>
              <w14:schemeClr w14:val="tx1"/>
            </w14:solidFill>
          </w14:textFill>
        </w:rPr>
        <w:t xml:space="preserve"> </w:t>
      </w:r>
    </w:p>
    <w:sectPr>
      <w:headerReference r:id="rId3" w:type="default"/>
      <w:footerReference r:id="rId4" w:type="default"/>
      <w:footerReference r:id="rId5" w:type="even"/>
      <w:pgSz w:w="11906" w:h="16838"/>
      <w:pgMar w:top="1985" w:right="1588" w:bottom="141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SongS-Extend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en-US" w:eastAsia="zh-CN"/>
                            </w:rPr>
                            <w:t>1</w:t>
                          </w:r>
                          <w:r>
                            <w:rPr>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en-US" w:eastAsia="zh-CN"/>
                      </w:rPr>
                      <w:t>1</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9kfck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nRFiWUGB37++eP868/593dS&#10;pfb0HmrMevSYF4cPbsClmf2AzqR6kMGkL+ohGMfmni7NFUMkPD2qVlV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f2R9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6EC99"/>
    <w:multiLevelType w:val="singleLevel"/>
    <w:tmpl w:val="A706EC99"/>
    <w:lvl w:ilvl="0" w:tentative="0">
      <w:start w:val="1"/>
      <w:numFmt w:val="chineseCounting"/>
      <w:suff w:val="nothing"/>
      <w:lvlText w:val="%1、"/>
      <w:lvlJc w:val="left"/>
      <w:rPr>
        <w:rFonts w:hint="eastAsia"/>
      </w:rPr>
    </w:lvl>
  </w:abstractNum>
  <w:abstractNum w:abstractNumId="1">
    <w:nsid w:val="EADA2701"/>
    <w:multiLevelType w:val="singleLevel"/>
    <w:tmpl w:val="EADA2701"/>
    <w:lvl w:ilvl="0" w:tentative="0">
      <w:start w:val="3"/>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CF0"/>
    <w:rsid w:val="00090FDF"/>
    <w:rsid w:val="00094800"/>
    <w:rsid w:val="000A17D7"/>
    <w:rsid w:val="000A79CC"/>
    <w:rsid w:val="000B1A43"/>
    <w:rsid w:val="000E3FCC"/>
    <w:rsid w:val="000E5029"/>
    <w:rsid w:val="00115CFF"/>
    <w:rsid w:val="00182A01"/>
    <w:rsid w:val="001A6A50"/>
    <w:rsid w:val="001C32B2"/>
    <w:rsid w:val="001E35BD"/>
    <w:rsid w:val="002248DA"/>
    <w:rsid w:val="00227EBA"/>
    <w:rsid w:val="002305EC"/>
    <w:rsid w:val="00262FAE"/>
    <w:rsid w:val="002640AD"/>
    <w:rsid w:val="00267400"/>
    <w:rsid w:val="002723AF"/>
    <w:rsid w:val="00285575"/>
    <w:rsid w:val="002926CE"/>
    <w:rsid w:val="002A18D9"/>
    <w:rsid w:val="002C6ADE"/>
    <w:rsid w:val="002E0F1F"/>
    <w:rsid w:val="002F4DC4"/>
    <w:rsid w:val="00304F5B"/>
    <w:rsid w:val="00316BEF"/>
    <w:rsid w:val="003273D1"/>
    <w:rsid w:val="00351F92"/>
    <w:rsid w:val="00362025"/>
    <w:rsid w:val="00397190"/>
    <w:rsid w:val="003A7F91"/>
    <w:rsid w:val="003C7267"/>
    <w:rsid w:val="00415485"/>
    <w:rsid w:val="00417AED"/>
    <w:rsid w:val="0043100C"/>
    <w:rsid w:val="0043762C"/>
    <w:rsid w:val="00457DF7"/>
    <w:rsid w:val="0047110F"/>
    <w:rsid w:val="00486E39"/>
    <w:rsid w:val="004905D0"/>
    <w:rsid w:val="00496B65"/>
    <w:rsid w:val="004A00C7"/>
    <w:rsid w:val="004D0A9C"/>
    <w:rsid w:val="004E5B9A"/>
    <w:rsid w:val="0051787B"/>
    <w:rsid w:val="00580B46"/>
    <w:rsid w:val="00586D72"/>
    <w:rsid w:val="005B76EF"/>
    <w:rsid w:val="00600BB6"/>
    <w:rsid w:val="006205E2"/>
    <w:rsid w:val="006308AC"/>
    <w:rsid w:val="0068035D"/>
    <w:rsid w:val="006904D9"/>
    <w:rsid w:val="006B2EC1"/>
    <w:rsid w:val="006B4BCE"/>
    <w:rsid w:val="006B53F6"/>
    <w:rsid w:val="006D39E4"/>
    <w:rsid w:val="006E2E67"/>
    <w:rsid w:val="006F390C"/>
    <w:rsid w:val="00706589"/>
    <w:rsid w:val="007170FE"/>
    <w:rsid w:val="007255BE"/>
    <w:rsid w:val="0073366E"/>
    <w:rsid w:val="00740FD3"/>
    <w:rsid w:val="00766F80"/>
    <w:rsid w:val="007704AE"/>
    <w:rsid w:val="007707B2"/>
    <w:rsid w:val="00783AD3"/>
    <w:rsid w:val="00797B18"/>
    <w:rsid w:val="007C235D"/>
    <w:rsid w:val="007C689F"/>
    <w:rsid w:val="007E156C"/>
    <w:rsid w:val="0080233B"/>
    <w:rsid w:val="00817233"/>
    <w:rsid w:val="008440EC"/>
    <w:rsid w:val="00856D82"/>
    <w:rsid w:val="008700F1"/>
    <w:rsid w:val="00887C4D"/>
    <w:rsid w:val="008965C3"/>
    <w:rsid w:val="008A0336"/>
    <w:rsid w:val="008E611A"/>
    <w:rsid w:val="009611D5"/>
    <w:rsid w:val="00966AC8"/>
    <w:rsid w:val="009725E9"/>
    <w:rsid w:val="00980DD4"/>
    <w:rsid w:val="0098641F"/>
    <w:rsid w:val="00991C5E"/>
    <w:rsid w:val="009A358A"/>
    <w:rsid w:val="009C16D4"/>
    <w:rsid w:val="00A03E9E"/>
    <w:rsid w:val="00A1439D"/>
    <w:rsid w:val="00A14438"/>
    <w:rsid w:val="00A51317"/>
    <w:rsid w:val="00A646E5"/>
    <w:rsid w:val="00A74AB8"/>
    <w:rsid w:val="00A81CEA"/>
    <w:rsid w:val="00A92775"/>
    <w:rsid w:val="00AA401C"/>
    <w:rsid w:val="00B570F4"/>
    <w:rsid w:val="00BA00BB"/>
    <w:rsid w:val="00BA231B"/>
    <w:rsid w:val="00BB4CCE"/>
    <w:rsid w:val="00BF6056"/>
    <w:rsid w:val="00C22C66"/>
    <w:rsid w:val="00C27C85"/>
    <w:rsid w:val="00C72998"/>
    <w:rsid w:val="00C7542C"/>
    <w:rsid w:val="00C83F3C"/>
    <w:rsid w:val="00CA6838"/>
    <w:rsid w:val="00CD3A42"/>
    <w:rsid w:val="00D83513"/>
    <w:rsid w:val="00D84F64"/>
    <w:rsid w:val="00D90DD7"/>
    <w:rsid w:val="00DB20D9"/>
    <w:rsid w:val="00DC755D"/>
    <w:rsid w:val="00DD688E"/>
    <w:rsid w:val="00DF3498"/>
    <w:rsid w:val="00E010F9"/>
    <w:rsid w:val="00E10120"/>
    <w:rsid w:val="00E261D5"/>
    <w:rsid w:val="00E40769"/>
    <w:rsid w:val="00E60C33"/>
    <w:rsid w:val="00E65A65"/>
    <w:rsid w:val="00E828CA"/>
    <w:rsid w:val="00EA0740"/>
    <w:rsid w:val="00EA491D"/>
    <w:rsid w:val="00ED1C2B"/>
    <w:rsid w:val="00EF648E"/>
    <w:rsid w:val="00F17D46"/>
    <w:rsid w:val="00F41857"/>
    <w:rsid w:val="00F6354A"/>
    <w:rsid w:val="00F744B7"/>
    <w:rsid w:val="00FC1C50"/>
    <w:rsid w:val="00FC3DBB"/>
    <w:rsid w:val="00FE60AC"/>
    <w:rsid w:val="068948E0"/>
    <w:rsid w:val="081C0C35"/>
    <w:rsid w:val="09534F7D"/>
    <w:rsid w:val="0F2D263C"/>
    <w:rsid w:val="1360367D"/>
    <w:rsid w:val="14BE5949"/>
    <w:rsid w:val="15566F41"/>
    <w:rsid w:val="1A02399C"/>
    <w:rsid w:val="1DFC16A3"/>
    <w:rsid w:val="1EAF1CAF"/>
    <w:rsid w:val="20B53601"/>
    <w:rsid w:val="23B460B3"/>
    <w:rsid w:val="26F65B6F"/>
    <w:rsid w:val="28E41C85"/>
    <w:rsid w:val="29E60D9A"/>
    <w:rsid w:val="2B015CA3"/>
    <w:rsid w:val="2C5528CC"/>
    <w:rsid w:val="2CE83064"/>
    <w:rsid w:val="320C5D2B"/>
    <w:rsid w:val="337559C7"/>
    <w:rsid w:val="348D099B"/>
    <w:rsid w:val="36E47652"/>
    <w:rsid w:val="386A2659"/>
    <w:rsid w:val="3A2C018D"/>
    <w:rsid w:val="3CB914BE"/>
    <w:rsid w:val="3D331B51"/>
    <w:rsid w:val="3EFB56BE"/>
    <w:rsid w:val="41B1616A"/>
    <w:rsid w:val="45322E2B"/>
    <w:rsid w:val="47EB5BD6"/>
    <w:rsid w:val="4AA724C7"/>
    <w:rsid w:val="4C3F5814"/>
    <w:rsid w:val="4E6D010E"/>
    <w:rsid w:val="4F447FEE"/>
    <w:rsid w:val="503C735D"/>
    <w:rsid w:val="50CF4226"/>
    <w:rsid w:val="50FB73B8"/>
    <w:rsid w:val="517350A3"/>
    <w:rsid w:val="5F7914B2"/>
    <w:rsid w:val="61037F12"/>
    <w:rsid w:val="660D1611"/>
    <w:rsid w:val="66D917D2"/>
    <w:rsid w:val="67710EC2"/>
    <w:rsid w:val="6A55060A"/>
    <w:rsid w:val="71C6779E"/>
    <w:rsid w:val="7267248A"/>
    <w:rsid w:val="77420A41"/>
    <w:rsid w:val="77ED5363"/>
    <w:rsid w:val="7D15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ind w:firstLine="643"/>
      <w:outlineLvl w:val="1"/>
    </w:pPr>
    <w:rPr>
      <w:rFonts w:eastAsia="楷体" w:cs="Times New Roman"/>
      <w:b/>
      <w:bCs/>
      <w:szCs w:val="32"/>
    </w:rPr>
  </w:style>
  <w:style w:type="character" w:default="1" w:styleId="8">
    <w:name w:val="Default Paragraph Font"/>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页眉 Char"/>
    <w:link w:val="6"/>
    <w:qFormat/>
    <w:uiPriority w:val="99"/>
    <w:rPr>
      <w:kern w:val="2"/>
      <w:sz w:val="18"/>
      <w:szCs w:val="18"/>
    </w:rPr>
  </w:style>
  <w:style w:type="character" w:customStyle="1" w:styleId="12">
    <w:name w:val="页脚 Char"/>
    <w:link w:val="5"/>
    <w:qFormat/>
    <w:uiPriority w:val="99"/>
    <w:rPr>
      <w:kern w:val="2"/>
      <w:sz w:val="18"/>
      <w:szCs w:val="18"/>
    </w:rPr>
  </w:style>
  <w:style w:type="character" w:customStyle="1" w:styleId="13">
    <w:name w:val="页眉 Char1"/>
    <w:basedOn w:val="8"/>
    <w:link w:val="6"/>
    <w:qFormat/>
    <w:uiPriority w:val="0"/>
    <w:rPr>
      <w:kern w:val="2"/>
      <w:sz w:val="18"/>
      <w:szCs w:val="18"/>
    </w:rPr>
  </w:style>
  <w:style w:type="character" w:customStyle="1" w:styleId="14">
    <w:name w:val="页脚 Char1"/>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3258</Words>
  <Characters>3324</Characters>
  <Lines>5</Lines>
  <Paragraphs>1</Paragraphs>
  <TotalTime>194</TotalTime>
  <ScaleCrop>false</ScaleCrop>
  <LinksUpToDate>false</LinksUpToDate>
  <CharactersWithSpaces>3464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2021-11-03T03:19:00Z</dcterms:created>
  <dc:creator>微软用户</dc:creator>
  <cp:lastModifiedBy>区征补中心</cp:lastModifiedBy>
  <cp:lastPrinted>2024-12-17T04:46:00Z</cp:lastPrinted>
  <dcterms:modified xsi:type="dcterms:W3CDTF">2024-12-24T02:46:07Z</dcterms:modified>
  <dc:title>凤凰山棚户区改造房屋征收补偿安置方案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47585E1661A1461F83BB9BC114205DB4</vt:lpwstr>
  </property>
</Properties>
</file>