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宋体"/>
          <w:sz w:val="32"/>
          <w:szCs w:val="32"/>
        </w:rPr>
      </w:pPr>
    </w:p>
    <w:p>
      <w:pPr>
        <w:spacing w:line="600" w:lineRule="exact"/>
        <w:jc w:val="center"/>
        <w:rPr>
          <w:rFonts w:ascii="宋体"/>
          <w:b/>
          <w:sz w:val="44"/>
          <w:szCs w:val="44"/>
        </w:rPr>
      </w:pPr>
      <w:bookmarkStart w:id="0" w:name="_GoBack"/>
      <w:bookmarkEnd w:id="0"/>
      <w:r>
        <w:rPr>
          <w:rFonts w:hint="eastAsia" w:ascii="宋体" w:hAnsi="宋体"/>
          <w:b/>
          <w:sz w:val="44"/>
          <w:szCs w:val="44"/>
        </w:rPr>
        <w:t>柳州市城中区本级机关培训费管理办法</w:t>
      </w:r>
    </w:p>
    <w:p>
      <w:pPr>
        <w:spacing w:line="600" w:lineRule="exact"/>
        <w:jc w:val="center"/>
        <w:rPr>
          <w:rFonts w:ascii="宋体"/>
          <w:sz w:val="44"/>
          <w:szCs w:val="44"/>
        </w:rPr>
      </w:pPr>
    </w:p>
    <w:p>
      <w:pPr>
        <w:spacing w:line="440" w:lineRule="exact"/>
        <w:jc w:val="center"/>
        <w:rPr>
          <w:rFonts w:ascii="仿宋_GB2312" w:eastAsia="仿宋_GB2312"/>
          <w:b/>
          <w:sz w:val="32"/>
          <w:szCs w:val="32"/>
        </w:rPr>
      </w:pPr>
      <w:r>
        <w:rPr>
          <w:rFonts w:hint="eastAsia" w:ascii="仿宋_GB2312" w:eastAsia="仿宋_GB2312"/>
          <w:b/>
          <w:sz w:val="32"/>
          <w:szCs w:val="32"/>
        </w:rPr>
        <w:t>第一章</w:t>
      </w:r>
      <w:r>
        <w:rPr>
          <w:rFonts w:ascii="仿宋_GB2312" w:eastAsia="仿宋_GB2312"/>
          <w:b/>
          <w:sz w:val="32"/>
          <w:szCs w:val="32"/>
        </w:rPr>
        <w:t xml:space="preserve">  </w:t>
      </w:r>
      <w:r>
        <w:rPr>
          <w:rFonts w:hint="eastAsia" w:ascii="仿宋_GB2312" w:eastAsia="仿宋_GB2312"/>
          <w:b/>
          <w:sz w:val="32"/>
          <w:szCs w:val="32"/>
        </w:rPr>
        <w:t>总则</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第一条</w:t>
      </w:r>
      <w:r>
        <w:rPr>
          <w:rFonts w:ascii="仿宋_GB2312" w:eastAsia="仿宋_GB2312"/>
          <w:sz w:val="32"/>
          <w:szCs w:val="32"/>
        </w:rPr>
        <w:t xml:space="preserve"> </w:t>
      </w:r>
      <w:r>
        <w:rPr>
          <w:rFonts w:hint="eastAsia" w:ascii="仿宋_GB2312" w:eastAsia="仿宋_GB2312"/>
          <w:sz w:val="32"/>
          <w:szCs w:val="32"/>
        </w:rPr>
        <w:t>为进一步规范柳州市城中区本级机关培训工作，保证培训工作需要，加强培训费管理，依据《柳州市本级机关培训费管理办法》（</w:t>
      </w:r>
      <w:r>
        <w:rPr>
          <w:rFonts w:hint="eastAsia" w:ascii="仿宋_GB2312" w:hAnsi="宋体" w:eastAsia="仿宋_GB2312"/>
          <w:sz w:val="32"/>
          <w:szCs w:val="32"/>
        </w:rPr>
        <w:t>柳财行〔</w:t>
      </w:r>
      <w:r>
        <w:rPr>
          <w:rFonts w:ascii="仿宋_GB2312" w:hAnsi="宋体" w:eastAsia="仿宋_GB2312"/>
          <w:sz w:val="32"/>
          <w:szCs w:val="32"/>
        </w:rPr>
        <w:t>2018</w:t>
      </w: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号</w:t>
      </w:r>
      <w:r>
        <w:rPr>
          <w:rFonts w:hint="eastAsia" w:ascii="仿宋_GB2312" w:eastAsia="仿宋_GB2312"/>
          <w:sz w:val="32"/>
          <w:szCs w:val="32"/>
        </w:rPr>
        <w:t>）结合我区实际，制定本办法。</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第二条</w:t>
      </w:r>
      <w:r>
        <w:rPr>
          <w:rFonts w:ascii="仿宋_GB2312" w:eastAsia="仿宋_GB2312"/>
          <w:sz w:val="32"/>
          <w:szCs w:val="32"/>
        </w:rPr>
        <w:t xml:space="preserve"> </w:t>
      </w:r>
      <w:r>
        <w:rPr>
          <w:rFonts w:hint="eastAsia" w:ascii="仿宋_GB2312" w:eastAsia="仿宋_GB2312"/>
          <w:sz w:val="32"/>
          <w:szCs w:val="32"/>
        </w:rPr>
        <w:t>本办法适用于城中区党委各部门，区人民政府各部门，区人大</w:t>
      </w:r>
      <w:r>
        <w:rPr>
          <w:rFonts w:hint="eastAsia" w:ascii="仿宋_GB2312" w:eastAsia="仿宋_GB2312"/>
          <w:sz w:val="32"/>
          <w:szCs w:val="32"/>
          <w:lang w:val="en-US" w:eastAsia="zh-CN"/>
        </w:rPr>
        <w:t>常委会</w:t>
      </w:r>
      <w:r>
        <w:rPr>
          <w:rFonts w:hint="eastAsia" w:ascii="仿宋_GB2312" w:eastAsia="仿宋_GB2312"/>
          <w:sz w:val="32"/>
          <w:szCs w:val="32"/>
        </w:rPr>
        <w:t>机关，区政协机关，区人民法院，区检察院人民团体，各民主党派、工商联及参照公务员法管理的事业单位（以下简称“各单位”）。</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第三条</w:t>
      </w:r>
      <w:r>
        <w:rPr>
          <w:rFonts w:ascii="仿宋_GB2312" w:eastAsia="仿宋_GB2312"/>
          <w:sz w:val="32"/>
          <w:szCs w:val="32"/>
        </w:rPr>
        <w:t xml:space="preserve"> </w:t>
      </w:r>
      <w:r>
        <w:rPr>
          <w:rFonts w:hint="eastAsia" w:ascii="仿宋_GB2312" w:eastAsia="仿宋_GB2312"/>
          <w:sz w:val="32"/>
          <w:szCs w:val="32"/>
        </w:rPr>
        <w:t>本办法所称培训，是指各单位使用财政资金在境内举办的三个月以内的各类培训。</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第四条</w:t>
      </w:r>
      <w:r>
        <w:rPr>
          <w:rFonts w:ascii="仿宋_GB2312" w:eastAsia="仿宋_GB2312"/>
          <w:sz w:val="32"/>
          <w:szCs w:val="32"/>
        </w:rPr>
        <w:t xml:space="preserve"> </w:t>
      </w:r>
      <w:r>
        <w:rPr>
          <w:rFonts w:hint="eastAsia" w:ascii="仿宋_GB2312" w:eastAsia="仿宋_GB2312"/>
          <w:sz w:val="32"/>
          <w:szCs w:val="32"/>
        </w:rPr>
        <w:t>各单位举办培训应当坚持厉行节约、反对浪费的原则，实行单位内部统一管理，增强培训计划的科学性和严肃性，增强培训项目的针对性和实效性，保证培训质量，节约培训资源，提高培训经费使用效益。</w:t>
      </w:r>
    </w:p>
    <w:p>
      <w:pPr>
        <w:spacing w:line="440" w:lineRule="exact"/>
        <w:ind w:firstLine="640" w:firstLineChars="200"/>
        <w:rPr>
          <w:rFonts w:ascii="仿宋_GB2312" w:eastAsia="仿宋_GB2312"/>
          <w:sz w:val="32"/>
          <w:szCs w:val="32"/>
        </w:rPr>
      </w:pPr>
    </w:p>
    <w:p>
      <w:pPr>
        <w:spacing w:line="440" w:lineRule="exact"/>
        <w:jc w:val="center"/>
        <w:rPr>
          <w:rFonts w:ascii="仿宋_GB2312" w:eastAsia="仿宋_GB2312"/>
          <w:b/>
          <w:sz w:val="32"/>
          <w:szCs w:val="32"/>
        </w:rPr>
      </w:pPr>
      <w:r>
        <w:rPr>
          <w:rFonts w:hint="eastAsia" w:ascii="仿宋_GB2312" w:eastAsia="仿宋_GB2312"/>
          <w:b/>
          <w:sz w:val="32"/>
          <w:szCs w:val="32"/>
        </w:rPr>
        <w:t>第二章</w:t>
      </w:r>
      <w:r>
        <w:rPr>
          <w:rFonts w:ascii="仿宋_GB2312" w:eastAsia="仿宋_GB2312"/>
          <w:b/>
          <w:sz w:val="32"/>
          <w:szCs w:val="32"/>
        </w:rPr>
        <w:t xml:space="preserve">  </w:t>
      </w:r>
      <w:r>
        <w:rPr>
          <w:rFonts w:hint="eastAsia" w:ascii="仿宋_GB2312" w:eastAsia="仿宋_GB2312"/>
          <w:b/>
          <w:sz w:val="32"/>
          <w:szCs w:val="32"/>
        </w:rPr>
        <w:t>计划和备案管理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第五条</w:t>
      </w:r>
      <w:r>
        <w:rPr>
          <w:rFonts w:ascii="仿宋_GB2312" w:eastAsia="仿宋_GB2312"/>
          <w:sz w:val="32"/>
          <w:szCs w:val="32"/>
        </w:rPr>
        <w:t xml:space="preserve"> </w:t>
      </w:r>
      <w:r>
        <w:rPr>
          <w:rFonts w:hint="eastAsia" w:ascii="仿宋_GB2312" w:eastAsia="仿宋_GB2312"/>
          <w:sz w:val="32"/>
          <w:szCs w:val="32"/>
        </w:rPr>
        <w:t>建立培训计划编报和审批制度。各单位培训主管部门制订的本单位年度培训计划（包括培训名称、对象、内容、时间、地点、参训人数、所需经费及列支渠道等），经单位财务部门审核后，报单位主要负责人</w:t>
      </w:r>
      <w:r>
        <w:rPr>
          <w:rFonts w:hint="eastAsia" w:ascii="仿宋_GB2312" w:hAnsi="仿宋" w:eastAsia="仿宋_GB2312"/>
          <w:sz w:val="32"/>
          <w:szCs w:val="32"/>
          <w:shd w:val="clear" w:color="auto" w:fill="FFFFFF"/>
        </w:rPr>
        <w:t>批准后纳入年度预算</w:t>
      </w:r>
      <w:r>
        <w:rPr>
          <w:rFonts w:hint="eastAsia" w:ascii="仿宋_GB2312" w:eastAsia="仿宋_GB2312"/>
          <w:sz w:val="32"/>
          <w:szCs w:val="32"/>
        </w:rPr>
        <w:t>。各单位于每年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日前将年度培训计划同时报区委组织部、区人力资源和社会保障局、区财政局备案。</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第六条</w:t>
      </w:r>
      <w:r>
        <w:rPr>
          <w:rFonts w:ascii="仿宋_GB2312" w:eastAsia="仿宋_GB2312"/>
          <w:sz w:val="32"/>
          <w:szCs w:val="32"/>
        </w:rPr>
        <w:t xml:space="preserve"> </w:t>
      </w:r>
      <w:r>
        <w:rPr>
          <w:rFonts w:hint="eastAsia" w:ascii="仿宋_GB2312" w:eastAsia="仿宋_GB2312"/>
          <w:sz w:val="32"/>
          <w:szCs w:val="32"/>
        </w:rPr>
        <w:t>年度培训计划一经批准，原则上不得调整。因工作需要确需临时增加培训项目及调整预算的，按规定程序报批。</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 </w:t>
      </w:r>
    </w:p>
    <w:p>
      <w:pPr>
        <w:spacing w:line="440" w:lineRule="exact"/>
        <w:ind w:firstLine="640" w:firstLineChars="200"/>
        <w:rPr>
          <w:rFonts w:ascii="仿宋_GB2312" w:eastAsia="仿宋_GB2312"/>
          <w:sz w:val="32"/>
          <w:szCs w:val="32"/>
        </w:rPr>
      </w:pPr>
    </w:p>
    <w:p>
      <w:pPr>
        <w:spacing w:line="440" w:lineRule="exact"/>
        <w:jc w:val="center"/>
        <w:rPr>
          <w:rFonts w:ascii="仿宋_GB2312" w:eastAsia="仿宋_GB2312"/>
          <w:b/>
          <w:sz w:val="32"/>
          <w:szCs w:val="32"/>
        </w:rPr>
      </w:pPr>
      <w:r>
        <w:rPr>
          <w:rFonts w:hint="eastAsia" w:ascii="仿宋_GB2312" w:eastAsia="仿宋_GB2312"/>
          <w:b/>
          <w:sz w:val="32"/>
          <w:szCs w:val="32"/>
        </w:rPr>
        <w:t>第三章</w:t>
      </w:r>
      <w:r>
        <w:rPr>
          <w:rFonts w:ascii="仿宋_GB2312" w:eastAsia="仿宋_GB2312"/>
          <w:b/>
          <w:sz w:val="32"/>
          <w:szCs w:val="32"/>
        </w:rPr>
        <w:t xml:space="preserve">  </w:t>
      </w:r>
      <w:r>
        <w:rPr>
          <w:rFonts w:hint="eastAsia" w:ascii="仿宋_GB2312" w:eastAsia="仿宋_GB2312"/>
          <w:b/>
          <w:sz w:val="32"/>
          <w:szCs w:val="32"/>
        </w:rPr>
        <w:t>开支范围和标准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xml:space="preserve"> </w:t>
      </w:r>
      <w:r>
        <w:rPr>
          <w:rFonts w:hint="eastAsia" w:ascii="仿宋_GB2312" w:eastAsia="仿宋_GB2312"/>
          <w:sz w:val="32"/>
          <w:szCs w:val="32"/>
        </w:rPr>
        <w:t>本办法所称培训费，是指各单位开展培训直接发生的各项费用支出，包括师资费、住宿费、伙食费、培训场地费、培训资料费、交通费以及其他费用。</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（一）师资费是指聘请师资授课发生的费用，包括授课老师讲课费、住宿费、伙食费、城市间交通费等。</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（二）住宿费是指参训人员及工作人员（不含参训人员携带的司机等其他人员）培训期间发生的租住房间的费用。</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（三）伙食费是指参训人员及工作人员（不含参训人员携带的司机等其他人员）培训期间发生的用餐费用。</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（四）培训场地费是指用于培训的会议室或教室租金。</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（五）培训资料费是指培训期间必要的资料及办公用品费。</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（六）交通费是指用于培训所需的人员接送以及与培训和现场教学有关的考察、调研等发生的交通支出。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（七）其他费用是指现场教学费、设备租赁费、文体活动费、医药费等与培训有关的其他支出。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参训人员参加培训往返及异地教学发生的城市间交通费，按照差旅费有关规定回单位报销。</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第八条</w:t>
      </w:r>
      <w:r>
        <w:rPr>
          <w:rFonts w:ascii="仿宋_GB2312" w:eastAsia="仿宋_GB2312"/>
          <w:sz w:val="32"/>
          <w:szCs w:val="32"/>
        </w:rPr>
        <w:t xml:space="preserve"> </w:t>
      </w:r>
      <w:r>
        <w:rPr>
          <w:rFonts w:hint="eastAsia" w:ascii="仿宋_GB2312" w:eastAsia="仿宋_GB2312"/>
          <w:sz w:val="32"/>
          <w:szCs w:val="32"/>
        </w:rPr>
        <w:t>除师资费外，培训费实行分类综合定额标准，分项核定、总额控制，各项费用之间可以调剂使用。综合定额标准如下：</w:t>
      </w:r>
    </w:p>
    <w:p>
      <w:pPr>
        <w:spacing w:line="460" w:lineRule="exact"/>
        <w:ind w:firstLine="5760" w:firstLineChars="1800"/>
        <w:rPr>
          <w:rFonts w:ascii="仿宋_GB2312" w:eastAsia="仿宋_GB2312"/>
          <w:sz w:val="32"/>
          <w:szCs w:val="32"/>
        </w:rPr>
      </w:pPr>
      <w:r>
        <w:rPr>
          <w:rFonts w:hint="eastAsia" w:ascii="仿宋_GB2312" w:eastAsia="仿宋_GB2312"/>
          <w:sz w:val="32"/>
          <w:szCs w:val="32"/>
        </w:rPr>
        <w:t>单位：元／人·天</w:t>
      </w:r>
    </w:p>
    <w:tbl>
      <w:tblPr>
        <w:tblStyle w:val="4"/>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232"/>
        <w:gridCol w:w="1277"/>
        <w:gridCol w:w="1516"/>
        <w:gridCol w:w="214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16" w:type="dxa"/>
            <w:vAlign w:val="center"/>
          </w:tcPr>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培训班</w:t>
            </w:r>
          </w:p>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地点</w:t>
            </w:r>
          </w:p>
        </w:tc>
        <w:tc>
          <w:tcPr>
            <w:tcW w:w="1232" w:type="dxa"/>
            <w:vAlign w:val="center"/>
          </w:tcPr>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住宿费</w:t>
            </w:r>
          </w:p>
        </w:tc>
        <w:tc>
          <w:tcPr>
            <w:tcW w:w="1277" w:type="dxa"/>
            <w:vAlign w:val="center"/>
          </w:tcPr>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伙食费</w:t>
            </w:r>
          </w:p>
        </w:tc>
        <w:tc>
          <w:tcPr>
            <w:tcW w:w="1516" w:type="dxa"/>
            <w:vAlign w:val="center"/>
          </w:tcPr>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场地费、资料费、</w:t>
            </w:r>
          </w:p>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交通费</w:t>
            </w:r>
          </w:p>
        </w:tc>
        <w:tc>
          <w:tcPr>
            <w:tcW w:w="2144" w:type="dxa"/>
            <w:vAlign w:val="center"/>
          </w:tcPr>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其他费用</w:t>
            </w:r>
          </w:p>
        </w:tc>
        <w:tc>
          <w:tcPr>
            <w:tcW w:w="1260" w:type="dxa"/>
            <w:vAlign w:val="center"/>
          </w:tcPr>
          <w:p>
            <w:pPr>
              <w:spacing w:line="500" w:lineRule="exact"/>
              <w:jc w:val="center"/>
              <w:rPr>
                <w:rFonts w:ascii="仿宋_GB2312" w:eastAsia="仿宋_GB2312"/>
                <w:b/>
                <w:kern w:val="0"/>
                <w:sz w:val="28"/>
                <w:szCs w:val="28"/>
              </w:rPr>
            </w:pPr>
            <w:r>
              <w:rPr>
                <w:rFonts w:hint="eastAsia" w:ascii="仿宋_GB2312" w:eastAsia="仿宋_GB2312"/>
                <w:b/>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16" w:type="dxa"/>
            <w:vAlign w:val="center"/>
          </w:tcPr>
          <w:p>
            <w:pPr>
              <w:spacing w:line="500" w:lineRule="exact"/>
              <w:jc w:val="center"/>
              <w:rPr>
                <w:rFonts w:ascii="仿宋_GB2312" w:eastAsia="仿宋_GB2312"/>
                <w:kern w:val="0"/>
                <w:sz w:val="28"/>
                <w:szCs w:val="28"/>
              </w:rPr>
            </w:pPr>
            <w:r>
              <w:rPr>
                <w:rFonts w:hint="eastAsia" w:ascii="仿宋_GB2312" w:eastAsia="仿宋_GB2312"/>
                <w:kern w:val="0"/>
                <w:sz w:val="28"/>
                <w:szCs w:val="28"/>
              </w:rPr>
              <w:t>区外</w:t>
            </w:r>
          </w:p>
        </w:tc>
        <w:tc>
          <w:tcPr>
            <w:tcW w:w="1232"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320</w:t>
            </w:r>
          </w:p>
        </w:tc>
        <w:tc>
          <w:tcPr>
            <w:tcW w:w="1277"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150</w:t>
            </w:r>
          </w:p>
        </w:tc>
        <w:tc>
          <w:tcPr>
            <w:tcW w:w="1516"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50</w:t>
            </w:r>
          </w:p>
        </w:tc>
        <w:tc>
          <w:tcPr>
            <w:tcW w:w="2144"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30</w:t>
            </w:r>
          </w:p>
        </w:tc>
        <w:tc>
          <w:tcPr>
            <w:tcW w:w="1260"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16" w:type="dxa"/>
            <w:vAlign w:val="center"/>
          </w:tcPr>
          <w:p>
            <w:pPr>
              <w:spacing w:line="500" w:lineRule="exact"/>
              <w:jc w:val="center"/>
              <w:rPr>
                <w:rFonts w:ascii="仿宋_GB2312" w:eastAsia="仿宋_GB2312"/>
                <w:kern w:val="0"/>
                <w:sz w:val="28"/>
                <w:szCs w:val="28"/>
              </w:rPr>
            </w:pPr>
            <w:r>
              <w:rPr>
                <w:rFonts w:hint="eastAsia" w:ascii="仿宋_GB2312" w:eastAsia="仿宋_GB2312"/>
                <w:kern w:val="0"/>
                <w:sz w:val="28"/>
                <w:szCs w:val="28"/>
              </w:rPr>
              <w:t>区内</w:t>
            </w:r>
          </w:p>
        </w:tc>
        <w:tc>
          <w:tcPr>
            <w:tcW w:w="1232"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230</w:t>
            </w:r>
          </w:p>
        </w:tc>
        <w:tc>
          <w:tcPr>
            <w:tcW w:w="1277"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120</w:t>
            </w:r>
          </w:p>
        </w:tc>
        <w:tc>
          <w:tcPr>
            <w:tcW w:w="1516"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30</w:t>
            </w:r>
          </w:p>
        </w:tc>
        <w:tc>
          <w:tcPr>
            <w:tcW w:w="2144"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20</w:t>
            </w:r>
          </w:p>
        </w:tc>
        <w:tc>
          <w:tcPr>
            <w:tcW w:w="1260" w:type="dxa"/>
            <w:vAlign w:val="center"/>
          </w:tcPr>
          <w:p>
            <w:pPr>
              <w:spacing w:line="500" w:lineRule="exact"/>
              <w:jc w:val="center"/>
              <w:rPr>
                <w:rFonts w:ascii="仿宋_GB2312" w:eastAsia="仿宋_GB2312"/>
                <w:kern w:val="0"/>
                <w:sz w:val="28"/>
                <w:szCs w:val="28"/>
              </w:rPr>
            </w:pPr>
            <w:r>
              <w:rPr>
                <w:rFonts w:ascii="仿宋_GB2312" w:eastAsia="仿宋_GB2312"/>
                <w:kern w:val="0"/>
                <w:sz w:val="28"/>
                <w:szCs w:val="28"/>
              </w:rPr>
              <w:t>400</w:t>
            </w:r>
          </w:p>
        </w:tc>
      </w:tr>
    </w:tbl>
    <w:p>
      <w:pPr>
        <w:spacing w:line="440" w:lineRule="exact"/>
        <w:ind w:firstLine="640" w:firstLineChars="200"/>
        <w:rPr>
          <w:rFonts w:ascii="仿宋_GB2312" w:eastAsia="仿宋_GB2312"/>
          <w:sz w:val="32"/>
          <w:szCs w:val="32"/>
        </w:rPr>
      </w:pPr>
      <w:r>
        <w:rPr>
          <w:rFonts w:hint="eastAsia" w:ascii="仿宋_GB2312" w:eastAsia="仿宋_GB2312"/>
          <w:sz w:val="32"/>
          <w:szCs w:val="32"/>
        </w:rPr>
        <w:t>综合定额标准是相关费用开支的上限。各单位应在综合定额标准以内结算报销。</w:t>
      </w:r>
    </w:p>
    <w:p>
      <w:pPr>
        <w:spacing w:line="44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天以内的培训按照综合定额标准控制，超过</w:t>
      </w:r>
      <w:r>
        <w:rPr>
          <w:rFonts w:ascii="仿宋_GB2312" w:eastAsia="仿宋_GB2312"/>
          <w:sz w:val="32"/>
          <w:szCs w:val="32"/>
        </w:rPr>
        <w:t>30</w:t>
      </w:r>
      <w:r>
        <w:rPr>
          <w:rFonts w:hint="eastAsia" w:ascii="仿宋_GB2312" w:eastAsia="仿宋_GB2312"/>
          <w:sz w:val="32"/>
          <w:szCs w:val="32"/>
        </w:rPr>
        <w:t>天的培训，超过天数按照综合定额标准的</w:t>
      </w:r>
      <w:r>
        <w:rPr>
          <w:rFonts w:ascii="仿宋_GB2312" w:eastAsia="仿宋_GB2312"/>
          <w:sz w:val="32"/>
          <w:szCs w:val="32"/>
        </w:rPr>
        <w:t>70%</w:t>
      </w:r>
      <w:r>
        <w:rPr>
          <w:rFonts w:hint="eastAsia" w:ascii="仿宋_GB2312" w:eastAsia="仿宋_GB2312"/>
          <w:sz w:val="32"/>
          <w:szCs w:val="32"/>
        </w:rPr>
        <w:t>控制。上述天数含报到撤离时间，报到和撤离时间分别不得超过</w:t>
      </w:r>
      <w:r>
        <w:rPr>
          <w:rFonts w:ascii="仿宋_GB2312" w:eastAsia="仿宋_GB2312"/>
          <w:sz w:val="32"/>
          <w:szCs w:val="32"/>
        </w:rPr>
        <w:t>1</w:t>
      </w:r>
      <w:r>
        <w:rPr>
          <w:rFonts w:hint="eastAsia" w:ascii="仿宋_GB2312" w:eastAsia="仿宋_GB2312"/>
          <w:sz w:val="32"/>
          <w:szCs w:val="32"/>
        </w:rPr>
        <w:t>天。</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第九条</w:t>
      </w:r>
      <w:r>
        <w:rPr>
          <w:rFonts w:ascii="仿宋_GB2312" w:eastAsia="仿宋_GB2312"/>
          <w:sz w:val="32"/>
          <w:szCs w:val="32"/>
        </w:rPr>
        <w:t xml:space="preserve"> </w:t>
      </w:r>
      <w:r>
        <w:rPr>
          <w:rFonts w:hint="eastAsia" w:ascii="仿宋_GB2312" w:eastAsia="仿宋_GB2312"/>
          <w:sz w:val="32"/>
          <w:szCs w:val="32"/>
        </w:rPr>
        <w:t>师资费在综合定额标准外单独核算。</w:t>
      </w:r>
    </w:p>
    <w:p>
      <w:pPr>
        <w:pStyle w:val="8"/>
        <w:spacing w:line="440" w:lineRule="exact"/>
        <w:ind w:firstLine="480" w:firstLineChars="150"/>
        <w:rPr>
          <w:rFonts w:ascii="仿宋_GB2312" w:eastAsia="仿宋_GB2312"/>
          <w:sz w:val="32"/>
          <w:szCs w:val="32"/>
        </w:rPr>
      </w:pPr>
      <w:r>
        <w:rPr>
          <w:rFonts w:hint="eastAsia" w:ascii="仿宋_GB2312" w:eastAsia="仿宋_GB2312"/>
          <w:sz w:val="32"/>
          <w:szCs w:val="32"/>
        </w:rPr>
        <w:t>（一）讲课费（税后）执行以下标准：副高级技术职称专业人员每学时最高不超过</w:t>
      </w:r>
      <w:r>
        <w:rPr>
          <w:rFonts w:ascii="仿宋_GB2312" w:eastAsia="仿宋_GB2312"/>
          <w:sz w:val="32"/>
          <w:szCs w:val="32"/>
        </w:rPr>
        <w:t>500</w:t>
      </w:r>
      <w:r>
        <w:rPr>
          <w:rFonts w:hint="eastAsia" w:ascii="仿宋_GB2312" w:eastAsia="仿宋_GB2312"/>
          <w:sz w:val="32"/>
          <w:szCs w:val="32"/>
        </w:rPr>
        <w:t>元，正高级技术职称专业人员每学时最高不超过</w:t>
      </w:r>
      <w:r>
        <w:rPr>
          <w:rFonts w:ascii="仿宋_GB2312" w:eastAsia="仿宋_GB2312"/>
          <w:sz w:val="32"/>
          <w:szCs w:val="32"/>
        </w:rPr>
        <w:t>1000</w:t>
      </w:r>
      <w:r>
        <w:rPr>
          <w:rFonts w:hint="eastAsia" w:ascii="仿宋_GB2312" w:eastAsia="仿宋_GB2312"/>
          <w:sz w:val="32"/>
          <w:szCs w:val="32"/>
        </w:rPr>
        <w:t>元，院士、全国知名专家每学时一般不超过</w:t>
      </w:r>
      <w:r>
        <w:rPr>
          <w:rFonts w:ascii="仿宋_GB2312" w:eastAsia="仿宋_GB2312"/>
          <w:sz w:val="32"/>
          <w:szCs w:val="32"/>
        </w:rPr>
        <w:t>1500</w:t>
      </w:r>
      <w:r>
        <w:rPr>
          <w:rFonts w:hint="eastAsia" w:ascii="仿宋_GB2312" w:eastAsia="仿宋_GB2312"/>
          <w:sz w:val="32"/>
          <w:szCs w:val="32"/>
        </w:rPr>
        <w:t>元。</w:t>
      </w:r>
    </w:p>
    <w:p>
      <w:pPr>
        <w:spacing w:line="440" w:lineRule="exact"/>
        <w:ind w:firstLine="645"/>
        <w:rPr>
          <w:rFonts w:ascii="仿宋_GB2312" w:eastAsia="仿宋_GB2312"/>
          <w:sz w:val="32"/>
          <w:szCs w:val="32"/>
        </w:rPr>
      </w:pPr>
      <w:r>
        <w:rPr>
          <w:rFonts w:hint="eastAsia" w:ascii="仿宋_GB2312" w:eastAsia="仿宋_GB2312"/>
          <w:sz w:val="32"/>
          <w:szCs w:val="32"/>
        </w:rPr>
        <w:t>讲课费按实际发生的学时计算，每半天最多按</w:t>
      </w:r>
      <w:r>
        <w:rPr>
          <w:rFonts w:ascii="仿宋_GB2312" w:eastAsia="仿宋_GB2312"/>
          <w:sz w:val="32"/>
          <w:szCs w:val="32"/>
        </w:rPr>
        <w:t>4</w:t>
      </w:r>
      <w:r>
        <w:rPr>
          <w:rFonts w:hint="eastAsia" w:ascii="仿宋_GB2312" w:eastAsia="仿宋_GB2312"/>
          <w:sz w:val="32"/>
          <w:szCs w:val="32"/>
        </w:rPr>
        <w:t>学时计算。</w:t>
      </w:r>
    </w:p>
    <w:p>
      <w:pPr>
        <w:spacing w:line="440" w:lineRule="exact"/>
        <w:ind w:firstLine="645"/>
        <w:rPr>
          <w:rFonts w:ascii="仿宋_GB2312" w:eastAsia="仿宋_GB2312"/>
          <w:sz w:val="32"/>
          <w:szCs w:val="32"/>
        </w:rPr>
      </w:pPr>
      <w:r>
        <w:rPr>
          <w:rFonts w:hint="eastAsia" w:ascii="仿宋_GB2312" w:eastAsia="仿宋_GB2312"/>
          <w:sz w:val="32"/>
          <w:szCs w:val="32"/>
        </w:rPr>
        <w:t>其他人员讲课费参照上述标准执行。</w:t>
      </w:r>
    </w:p>
    <w:p>
      <w:pPr>
        <w:spacing w:line="440" w:lineRule="exact"/>
        <w:ind w:firstLine="645"/>
        <w:rPr>
          <w:rFonts w:ascii="仿宋_GB2312" w:eastAsia="仿宋_GB2312"/>
          <w:sz w:val="32"/>
          <w:szCs w:val="32"/>
        </w:rPr>
      </w:pPr>
      <w:r>
        <w:rPr>
          <w:rFonts w:hint="eastAsia" w:ascii="仿宋_GB2312" w:eastAsia="仿宋_GB2312"/>
          <w:sz w:val="32"/>
          <w:szCs w:val="32"/>
        </w:rPr>
        <w:t>同时为多班次一并授课的，不重复计算讲课费。</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（二）授课老师的城市间交通费、住宿费按照柳州市城中区本级差旅费有关规定和标准执行，伙食费按照本办法标准执行，原则上由培训举办单位承担。</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（三）培训工作确有需要从异地（含境外）邀请授课老师，路途时间较长的，经单位主要负责同志书面批准，讲课费可以适当增加，但是最高不得超过同类标准的</w:t>
      </w:r>
      <w:r>
        <w:rPr>
          <w:rFonts w:ascii="仿宋_GB2312" w:eastAsia="仿宋_GB2312"/>
          <w:sz w:val="32"/>
          <w:szCs w:val="32"/>
        </w:rPr>
        <w:t>30%</w:t>
      </w:r>
      <w:r>
        <w:rPr>
          <w:rFonts w:hint="eastAsia" w:ascii="仿宋_GB2312" w:eastAsia="仿宋_GB2312"/>
          <w:sz w:val="32"/>
          <w:szCs w:val="32"/>
        </w:rPr>
        <w:t>。</w:t>
      </w:r>
    </w:p>
    <w:p>
      <w:pPr>
        <w:spacing w:line="440" w:lineRule="exact"/>
        <w:ind w:firstLine="640" w:firstLineChars="200"/>
        <w:rPr>
          <w:rFonts w:ascii="仿宋_GB2312" w:eastAsia="仿宋_GB2312"/>
          <w:sz w:val="32"/>
          <w:szCs w:val="32"/>
        </w:rPr>
      </w:pPr>
    </w:p>
    <w:p>
      <w:pPr>
        <w:adjustRightInd w:val="0"/>
        <w:spacing w:line="440" w:lineRule="exact"/>
        <w:ind w:firstLine="643" w:firstLineChars="200"/>
        <w:jc w:val="center"/>
        <w:rPr>
          <w:rFonts w:ascii="仿宋_GB2312" w:eastAsia="仿宋_GB2312"/>
          <w:b/>
          <w:sz w:val="32"/>
          <w:szCs w:val="32"/>
        </w:rPr>
      </w:pPr>
      <w:r>
        <w:rPr>
          <w:rFonts w:hint="eastAsia" w:ascii="仿宋_GB2312" w:eastAsia="仿宋_GB2312"/>
          <w:b/>
          <w:sz w:val="32"/>
          <w:szCs w:val="32"/>
        </w:rPr>
        <w:t>第四章</w:t>
      </w:r>
      <w:r>
        <w:rPr>
          <w:rFonts w:ascii="仿宋_GB2312" w:eastAsia="仿宋_GB2312"/>
          <w:b/>
          <w:sz w:val="32"/>
          <w:szCs w:val="32"/>
        </w:rPr>
        <w:t xml:space="preserve">  </w:t>
      </w:r>
      <w:r>
        <w:rPr>
          <w:rFonts w:hint="eastAsia" w:ascii="仿宋_GB2312" w:eastAsia="仿宋_GB2312"/>
          <w:b/>
          <w:sz w:val="32"/>
          <w:szCs w:val="32"/>
        </w:rPr>
        <w:t>培训组织</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第十条</w:t>
      </w:r>
      <w:r>
        <w:rPr>
          <w:rFonts w:ascii="仿宋_GB2312" w:eastAsia="仿宋_GB2312"/>
          <w:sz w:val="32"/>
          <w:szCs w:val="32"/>
        </w:rPr>
        <w:t xml:space="preserve"> </w:t>
      </w:r>
      <w:r>
        <w:rPr>
          <w:rFonts w:hint="eastAsia" w:ascii="仿宋_GB2312" w:eastAsia="仿宋_GB2312"/>
          <w:sz w:val="32"/>
          <w:szCs w:val="32"/>
        </w:rPr>
        <w:t>各单位开展培训，应当在开支范围和标准内优先选择党校、行政学院、干部学院以及组织人事部门认可的其他培训机构承办。</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第十一条</w:t>
      </w:r>
      <w:r>
        <w:rPr>
          <w:rFonts w:ascii="仿宋_GB2312" w:eastAsia="仿宋_GB2312"/>
          <w:sz w:val="32"/>
          <w:szCs w:val="32"/>
        </w:rPr>
        <w:t xml:space="preserve"> </w:t>
      </w:r>
      <w:r>
        <w:rPr>
          <w:rFonts w:hint="eastAsia" w:ascii="仿宋_GB2312" w:eastAsia="仿宋_GB2312"/>
          <w:sz w:val="32"/>
          <w:szCs w:val="32"/>
        </w:rPr>
        <w:t>组织培训的工作人员控制在参训人员数量的</w:t>
      </w:r>
      <w:r>
        <w:rPr>
          <w:rFonts w:ascii="仿宋_GB2312" w:eastAsia="仿宋_GB2312"/>
          <w:sz w:val="32"/>
          <w:szCs w:val="32"/>
        </w:rPr>
        <w:t>10%</w:t>
      </w:r>
      <w:r>
        <w:rPr>
          <w:rFonts w:hint="eastAsia" w:ascii="仿宋_GB2312" w:eastAsia="仿宋_GB2312"/>
          <w:sz w:val="32"/>
          <w:szCs w:val="32"/>
        </w:rPr>
        <w:t>以内，最多不超过</w:t>
      </w:r>
      <w:r>
        <w:rPr>
          <w:rFonts w:ascii="仿宋_GB2312" w:eastAsia="仿宋_GB2312"/>
          <w:sz w:val="32"/>
          <w:szCs w:val="32"/>
        </w:rPr>
        <w:t>10</w:t>
      </w:r>
      <w:r>
        <w:rPr>
          <w:rFonts w:hint="eastAsia" w:ascii="仿宋_GB2312" w:eastAsia="仿宋_GB2312"/>
          <w:sz w:val="32"/>
          <w:szCs w:val="32"/>
        </w:rPr>
        <w:t>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第十二条</w:t>
      </w:r>
      <w:r>
        <w:rPr>
          <w:rFonts w:ascii="仿宋_GB2312" w:eastAsia="仿宋_GB2312"/>
          <w:sz w:val="32"/>
          <w:szCs w:val="32"/>
        </w:rPr>
        <w:t xml:space="preserve"> </w:t>
      </w:r>
      <w:r>
        <w:rPr>
          <w:rFonts w:hint="eastAsia" w:ascii="仿宋_GB2312" w:eastAsia="仿宋_GB2312"/>
          <w:sz w:val="32"/>
          <w:szCs w:val="32"/>
        </w:rPr>
        <w:t>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培训住宿不得安排高档套房，不得额外配发洗漱用品；培训用餐不得上高档菜肴，不得提供烟酒；除必要的、列入培训计划的教学外，</w:t>
      </w:r>
      <w:r>
        <w:rPr>
          <w:rFonts w:ascii="仿宋_GB2312" w:eastAsia="仿宋_GB2312"/>
          <w:sz w:val="32"/>
          <w:szCs w:val="32"/>
        </w:rPr>
        <w:t>7</w:t>
      </w:r>
      <w:r>
        <w:rPr>
          <w:rFonts w:hint="eastAsia" w:ascii="仿宋_GB2312" w:eastAsia="仿宋_GB2312"/>
          <w:sz w:val="32"/>
          <w:szCs w:val="32"/>
        </w:rPr>
        <w:t>日以内的培训不得组织调研、考察、参观。</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第十三条</w:t>
      </w:r>
      <w:r>
        <w:rPr>
          <w:rFonts w:ascii="仿宋_GB2312" w:eastAsia="仿宋_GB2312"/>
          <w:sz w:val="32"/>
          <w:szCs w:val="32"/>
        </w:rPr>
        <w:t xml:space="preserve"> </w:t>
      </w:r>
      <w:r>
        <w:rPr>
          <w:rFonts w:hint="eastAsia" w:ascii="仿宋_GB2312" w:eastAsia="仿宋_GB2312"/>
          <w:sz w:val="32"/>
          <w:szCs w:val="32"/>
        </w:rPr>
        <w:t>邀请境外师资讲课，必须严格按照有关外事管理规定，履行审批手续。境内师资能够满足培训需要的，不得邀请境外师资。</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第十四条</w:t>
      </w:r>
      <w:r>
        <w:rPr>
          <w:rFonts w:ascii="仿宋_GB2312" w:eastAsia="仿宋_GB2312"/>
          <w:sz w:val="32"/>
          <w:szCs w:val="32"/>
        </w:rPr>
        <w:t xml:space="preserve"> </w:t>
      </w:r>
      <w:r>
        <w:rPr>
          <w:rFonts w:hint="eastAsia" w:ascii="仿宋_GB2312" w:eastAsia="仿宋_GB2312"/>
          <w:sz w:val="32"/>
          <w:szCs w:val="32"/>
        </w:rPr>
        <w:t>培训举办单位应当注重教学设计和质量评估，通过需求调研、课程设计和开发、专家论证、评估反馈等环节，推进培训工作科学化、精准化；注重应用大数据、“互联网</w:t>
      </w:r>
      <w:r>
        <w:rPr>
          <w:rFonts w:ascii="仿宋_GB2312" w:eastAsia="仿宋_GB2312"/>
          <w:sz w:val="32"/>
          <w:szCs w:val="32"/>
        </w:rPr>
        <w:t>+</w:t>
      </w:r>
      <w:r>
        <w:rPr>
          <w:rFonts w:hint="eastAsia" w:ascii="仿宋_GB2312" w:eastAsia="仿宋_GB2312"/>
          <w:sz w:val="32"/>
          <w:szCs w:val="32"/>
        </w:rPr>
        <w:t>”等现代信息化技术手段开展培训和管理。所需费用纳入部门预算予以保障。</w:t>
      </w:r>
    </w:p>
    <w:p>
      <w:pPr>
        <w:spacing w:line="440" w:lineRule="exact"/>
        <w:ind w:firstLine="640" w:firstLineChars="200"/>
        <w:rPr>
          <w:rFonts w:ascii="仿宋_GB2312" w:eastAsia="仿宋_GB2312"/>
          <w:sz w:val="32"/>
          <w:szCs w:val="32"/>
        </w:rPr>
      </w:pPr>
    </w:p>
    <w:p>
      <w:pPr>
        <w:spacing w:line="440" w:lineRule="exact"/>
        <w:jc w:val="center"/>
        <w:rPr>
          <w:rFonts w:ascii="仿宋_GB2312" w:eastAsia="仿宋_GB2312"/>
          <w:b/>
          <w:sz w:val="32"/>
          <w:szCs w:val="32"/>
        </w:rPr>
      </w:pPr>
      <w:r>
        <w:rPr>
          <w:rFonts w:hint="eastAsia" w:ascii="仿宋_GB2312" w:eastAsia="仿宋_GB2312"/>
          <w:b/>
          <w:sz w:val="32"/>
          <w:szCs w:val="32"/>
        </w:rPr>
        <w:t>第五章</w:t>
      </w:r>
      <w:r>
        <w:rPr>
          <w:rFonts w:ascii="仿宋_GB2312" w:eastAsia="仿宋_GB2312"/>
          <w:b/>
          <w:sz w:val="32"/>
          <w:szCs w:val="32"/>
        </w:rPr>
        <w:t xml:space="preserve">  </w:t>
      </w:r>
      <w:r>
        <w:rPr>
          <w:rFonts w:hint="eastAsia" w:ascii="仿宋_GB2312" w:eastAsia="仿宋_GB2312"/>
          <w:b/>
          <w:sz w:val="32"/>
          <w:szCs w:val="32"/>
        </w:rPr>
        <w:t>报销结算</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第十五条</w:t>
      </w:r>
      <w:r>
        <w:rPr>
          <w:rFonts w:ascii="仿宋_GB2312" w:eastAsia="仿宋_GB2312"/>
          <w:sz w:val="32"/>
          <w:szCs w:val="32"/>
        </w:rPr>
        <w:t xml:space="preserve"> </w:t>
      </w:r>
      <w:r>
        <w:rPr>
          <w:rFonts w:hint="eastAsia" w:ascii="仿宋_GB2312" w:eastAsia="仿宋_GB2312"/>
          <w:sz w:val="32"/>
          <w:szCs w:val="32"/>
        </w:rPr>
        <w:t>报销培训费，综合定额范围内的，应当提供培训计划审批文件、培训通知、实际参训人员签到表以及培训机构出具的收款票据、费用明细等凭证；师资费范围内的，应当提供讲课费签收单或合同，异地授课的住宿费、伙食费、城市间交通费按照差旅费报销办法提供相关凭据。</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各单位财务部门应当严格按照规定审核培训费开支，对未履行审批备案程序的培训，以及超范围、超标准开支的费用不予报销。</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第十六条</w:t>
      </w:r>
      <w:r>
        <w:rPr>
          <w:rFonts w:ascii="仿宋_GB2312" w:eastAsia="仿宋_GB2312"/>
          <w:sz w:val="32"/>
          <w:szCs w:val="32"/>
        </w:rPr>
        <w:t xml:space="preserve"> </w:t>
      </w:r>
      <w:r>
        <w:rPr>
          <w:rFonts w:hint="eastAsia" w:ascii="仿宋_GB2312" w:eastAsia="仿宋_GB2312"/>
          <w:sz w:val="32"/>
          <w:szCs w:val="32"/>
        </w:rPr>
        <w:t>小额零星开支以外的培训费用应当执行国库集中支付和公务卡管理的有关制度规定，采用银行转账或公务卡方式结算，不得以现金方式支付。</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第十七条</w:t>
      </w:r>
      <w:r>
        <w:rPr>
          <w:rFonts w:ascii="仿宋_GB2312" w:eastAsia="仿宋_GB2312"/>
          <w:sz w:val="32"/>
          <w:szCs w:val="32"/>
        </w:rPr>
        <w:t xml:space="preserve"> </w:t>
      </w:r>
      <w:r>
        <w:rPr>
          <w:rFonts w:hint="eastAsia" w:ascii="仿宋_GB2312" w:eastAsia="仿宋_GB2312"/>
          <w:sz w:val="32"/>
          <w:szCs w:val="32"/>
        </w:rPr>
        <w:t>培训费由培训举办单位承担，纳入部门预算管理，在各单位日常公用经费或专项经费中列支，不得向参训者收取任何费用。执行中临时增加的培训项目，应按预算规定程序及时报批。无预算的培训费用不予报销。</w:t>
      </w:r>
    </w:p>
    <w:p>
      <w:pPr>
        <w:spacing w:line="440" w:lineRule="exact"/>
        <w:ind w:firstLine="640" w:firstLineChars="200"/>
        <w:rPr>
          <w:rFonts w:ascii="仿宋_GB2312" w:eastAsia="仿宋_GB2312"/>
          <w:sz w:val="32"/>
          <w:szCs w:val="32"/>
        </w:rPr>
      </w:pPr>
    </w:p>
    <w:p>
      <w:pPr>
        <w:spacing w:line="440" w:lineRule="exact"/>
        <w:ind w:firstLine="640" w:firstLineChars="200"/>
        <w:rPr>
          <w:rFonts w:ascii="仿宋_GB2312" w:eastAsia="仿宋_GB2312"/>
          <w:sz w:val="32"/>
          <w:szCs w:val="32"/>
        </w:rPr>
      </w:pPr>
    </w:p>
    <w:p>
      <w:pPr>
        <w:spacing w:line="440" w:lineRule="exact"/>
        <w:jc w:val="center"/>
        <w:rPr>
          <w:rFonts w:ascii="仿宋_GB2312" w:eastAsia="仿宋_GB2312"/>
          <w:b/>
          <w:sz w:val="32"/>
          <w:szCs w:val="32"/>
        </w:rPr>
      </w:pPr>
      <w:r>
        <w:rPr>
          <w:rFonts w:hint="eastAsia" w:ascii="仿宋_GB2312" w:eastAsia="仿宋_GB2312"/>
          <w:b/>
          <w:sz w:val="32"/>
          <w:szCs w:val="32"/>
        </w:rPr>
        <w:t>第六章</w:t>
      </w:r>
      <w:r>
        <w:rPr>
          <w:rFonts w:ascii="仿宋_GB2312" w:eastAsia="仿宋_GB2312"/>
          <w:b/>
          <w:sz w:val="32"/>
          <w:szCs w:val="32"/>
        </w:rPr>
        <w:t xml:space="preserve">  </w:t>
      </w:r>
      <w:r>
        <w:rPr>
          <w:rFonts w:hint="eastAsia" w:ascii="仿宋_GB2312" w:eastAsia="仿宋_GB2312"/>
          <w:b/>
          <w:sz w:val="32"/>
          <w:szCs w:val="32"/>
        </w:rPr>
        <w:t>监督检查</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第十八条</w:t>
      </w:r>
      <w:r>
        <w:rPr>
          <w:rFonts w:ascii="仿宋_GB2312" w:eastAsia="仿宋_GB2312"/>
          <w:sz w:val="32"/>
          <w:szCs w:val="32"/>
        </w:rPr>
        <w:t xml:space="preserve"> </w:t>
      </w:r>
      <w:r>
        <w:rPr>
          <w:rFonts w:hint="eastAsia" w:ascii="仿宋_GB2312" w:eastAsia="仿宋_GB2312"/>
          <w:sz w:val="32"/>
          <w:szCs w:val="32"/>
        </w:rPr>
        <w:t>各单位应当将非涉密培训的项目、内容、人数、经费等情况，以适当方式公开。</w:t>
      </w:r>
    </w:p>
    <w:p>
      <w:pPr>
        <w:spacing w:line="440" w:lineRule="exact"/>
        <w:ind w:firstLine="640" w:firstLineChars="200"/>
        <w:rPr>
          <w:rFonts w:ascii="仿宋_GB2312" w:hAnsi="宋体" w:eastAsia="仿宋_GB2312"/>
          <w:sz w:val="32"/>
          <w:szCs w:val="32"/>
        </w:rPr>
      </w:pPr>
      <w:r>
        <w:rPr>
          <w:rFonts w:hint="eastAsia" w:ascii="仿宋_GB2312" w:hAnsi="宋体" w:eastAsia="仿宋_GB2312"/>
          <w:sz w:val="32"/>
          <w:szCs w:val="32"/>
        </w:rPr>
        <w:t>第十九条</w:t>
      </w:r>
      <w:r>
        <w:rPr>
          <w:rFonts w:ascii="仿宋_GB2312" w:hAnsi="宋体" w:eastAsia="仿宋_GB2312"/>
          <w:sz w:val="32"/>
          <w:szCs w:val="32"/>
        </w:rPr>
        <w:t xml:space="preserve"> </w:t>
      </w:r>
      <w:r>
        <w:rPr>
          <w:rFonts w:hint="eastAsia" w:ascii="仿宋_GB2312" w:hAnsi="宋体" w:eastAsia="仿宋_GB2312"/>
          <w:sz w:val="32"/>
          <w:szCs w:val="32"/>
        </w:rPr>
        <w:t>各单位应当于每年</w:t>
      </w:r>
      <w:r>
        <w:rPr>
          <w:rFonts w:ascii="仿宋_GB2312" w:hAnsi="宋体" w:eastAsia="仿宋_GB2312"/>
          <w:sz w:val="32"/>
          <w:szCs w:val="32"/>
        </w:rPr>
        <w:t>3</w:t>
      </w:r>
      <w:r>
        <w:rPr>
          <w:rFonts w:hint="eastAsia" w:ascii="仿宋_GB2312" w:hAnsi="宋体" w:eastAsia="仿宋_GB2312"/>
          <w:sz w:val="32"/>
          <w:szCs w:val="32"/>
        </w:rPr>
        <w:t>月底前将上年度培训计划执行情况（包括培训名称、对象、内容、时间、地点、参训人数、工作人员数、经费开支及列支渠道、培训成效、问题建议等）报送区委组织部、区人力资源和社会保障局，区财政局。</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第二十条</w:t>
      </w:r>
      <w:r>
        <w:rPr>
          <w:rFonts w:ascii="仿宋_GB2312" w:eastAsia="仿宋_GB2312"/>
          <w:sz w:val="32"/>
          <w:szCs w:val="32"/>
        </w:rPr>
        <w:t xml:space="preserve"> </w:t>
      </w:r>
      <w:r>
        <w:rPr>
          <w:rFonts w:hint="eastAsia" w:ascii="仿宋_GB2312" w:eastAsia="仿宋_GB2312"/>
          <w:sz w:val="32"/>
          <w:szCs w:val="32"/>
        </w:rPr>
        <w:t>区委组织部、</w:t>
      </w:r>
      <w:r>
        <w:rPr>
          <w:rFonts w:hint="eastAsia" w:ascii="仿宋_GB2312" w:hAnsi="宋体" w:eastAsia="仿宋_GB2312"/>
          <w:sz w:val="32"/>
          <w:szCs w:val="32"/>
        </w:rPr>
        <w:t>区人力资源和社会保障局</w:t>
      </w:r>
      <w:r>
        <w:rPr>
          <w:rFonts w:hint="eastAsia" w:ascii="仿宋_GB2312" w:eastAsia="仿宋_GB2312"/>
          <w:sz w:val="32"/>
          <w:szCs w:val="32"/>
        </w:rPr>
        <w:t>、区财政局等有关部门对各单位培训活动和培训费管理使用情况进行监督检查，重点对赴区外办班有关情况进行监督检查。主要内容包括：</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（一）培训计划的编报是否符合规定；</w:t>
      </w:r>
    </w:p>
    <w:p>
      <w:pPr>
        <w:spacing w:line="440" w:lineRule="exact"/>
        <w:ind w:left="798" w:leftChars="304" w:hanging="160" w:hangingChars="50"/>
        <w:rPr>
          <w:rFonts w:ascii="仿宋_GB2312" w:eastAsia="仿宋_GB2312"/>
          <w:sz w:val="32"/>
          <w:szCs w:val="32"/>
        </w:rPr>
      </w:pPr>
      <w:r>
        <w:rPr>
          <w:rFonts w:hint="eastAsia" w:ascii="仿宋_GB2312" w:eastAsia="仿宋_GB2312"/>
          <w:sz w:val="32"/>
          <w:szCs w:val="32"/>
        </w:rPr>
        <w:t>（二）临时增加培训计划是否有预算审批；</w:t>
      </w:r>
    </w:p>
    <w:p>
      <w:pPr>
        <w:spacing w:line="440" w:lineRule="exact"/>
        <w:ind w:left="798" w:leftChars="304" w:hanging="160" w:hangingChars="50"/>
        <w:rPr>
          <w:rFonts w:ascii="仿宋_GB2312" w:eastAsia="仿宋_GB2312"/>
          <w:sz w:val="32"/>
          <w:szCs w:val="32"/>
        </w:rPr>
      </w:pPr>
      <w:r>
        <w:rPr>
          <w:rFonts w:hint="eastAsia" w:ascii="仿宋_GB2312" w:eastAsia="仿宋_GB2312"/>
          <w:sz w:val="32"/>
          <w:szCs w:val="32"/>
        </w:rPr>
        <w:t>（三）培训费开支范围和开支标准是否符合规定；</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（四）培训费报销和支付是否符合规定；</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（五）是否存在虚报培训费用的行为；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（六）是否存在转嫁、摊派培训费用的行为；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（七）是否存在向参训人员乱收费的行为；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（八）是否存在奢侈浪费现象；</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（九）是否存在其他违反本办法的行为。</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第二十一条</w:t>
      </w:r>
      <w:r>
        <w:rPr>
          <w:rFonts w:ascii="仿宋_GB2312" w:eastAsia="仿宋_GB2312"/>
          <w:sz w:val="32"/>
          <w:szCs w:val="32"/>
        </w:rPr>
        <w:t xml:space="preserve"> </w:t>
      </w:r>
      <w:r>
        <w:rPr>
          <w:rFonts w:hint="eastAsia" w:ascii="仿宋_GB2312" w:eastAsia="仿宋_GB2312"/>
          <w:sz w:val="32"/>
          <w:szCs w:val="32"/>
        </w:rPr>
        <w:t>对于检查中发现的违反本办法的行为，由区委组织部、</w:t>
      </w:r>
      <w:r>
        <w:rPr>
          <w:rFonts w:hint="eastAsia" w:ascii="仿宋_GB2312" w:hAnsi="宋体" w:eastAsia="仿宋_GB2312"/>
          <w:sz w:val="32"/>
          <w:szCs w:val="32"/>
        </w:rPr>
        <w:t>区人力资源和社会保障局</w:t>
      </w:r>
      <w:r>
        <w:rPr>
          <w:rFonts w:hint="eastAsia" w:ascii="仿宋_GB2312" w:eastAsia="仿宋_GB2312"/>
          <w:sz w:val="32"/>
          <w:szCs w:val="32"/>
        </w:rPr>
        <w:t>、区财政局等有关部门责令改正，追回资金，并予以通报；对相关责任人员，按规定予以党纪政务处分；涉嫌违法的，移交司法机关处理。</w:t>
      </w:r>
    </w:p>
    <w:p>
      <w:pPr>
        <w:spacing w:line="440" w:lineRule="exact"/>
        <w:ind w:firstLine="640" w:firstLineChars="200"/>
        <w:rPr>
          <w:rFonts w:ascii="仿宋_GB2312" w:eastAsia="仿宋_GB2312"/>
          <w:sz w:val="32"/>
          <w:szCs w:val="32"/>
        </w:rPr>
      </w:pPr>
    </w:p>
    <w:p>
      <w:pPr>
        <w:spacing w:line="440" w:lineRule="exact"/>
        <w:jc w:val="center"/>
        <w:rPr>
          <w:rFonts w:ascii="仿宋_GB2312" w:eastAsia="仿宋_GB2312"/>
          <w:b/>
          <w:sz w:val="32"/>
          <w:szCs w:val="32"/>
        </w:rPr>
      </w:pPr>
      <w:r>
        <w:rPr>
          <w:rFonts w:hint="eastAsia" w:ascii="仿宋_GB2312" w:eastAsia="仿宋_GB2312"/>
          <w:b/>
          <w:sz w:val="32"/>
          <w:szCs w:val="32"/>
        </w:rPr>
        <w:t>第七章</w:t>
      </w:r>
      <w:r>
        <w:rPr>
          <w:rFonts w:ascii="仿宋_GB2312" w:eastAsia="仿宋_GB2312"/>
          <w:b/>
          <w:sz w:val="32"/>
          <w:szCs w:val="32"/>
        </w:rPr>
        <w:t xml:space="preserve">  </w:t>
      </w:r>
      <w:r>
        <w:rPr>
          <w:rFonts w:hint="eastAsia" w:ascii="仿宋_GB2312" w:eastAsia="仿宋_GB2312"/>
          <w:b/>
          <w:sz w:val="32"/>
          <w:szCs w:val="32"/>
        </w:rPr>
        <w:t>附则</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第二十二条</w:t>
      </w:r>
      <w:r>
        <w:rPr>
          <w:rFonts w:ascii="仿宋_GB2312" w:eastAsia="仿宋_GB2312"/>
          <w:sz w:val="32"/>
          <w:szCs w:val="32"/>
        </w:rPr>
        <w:t xml:space="preserve"> </w:t>
      </w:r>
      <w:r>
        <w:rPr>
          <w:rFonts w:hint="eastAsia" w:ascii="仿宋_GB2312" w:eastAsia="仿宋_GB2312"/>
          <w:sz w:val="32"/>
          <w:szCs w:val="32"/>
        </w:rPr>
        <w:t>各单位可以按照本办法，结合本单位业务特点和工作实际，制定培训费管理具体规定。</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第二十三条</w:t>
      </w:r>
      <w:r>
        <w:rPr>
          <w:rFonts w:ascii="仿宋_GB2312" w:eastAsia="仿宋_GB2312"/>
          <w:sz w:val="32"/>
          <w:szCs w:val="32"/>
        </w:rPr>
        <w:t xml:space="preserve"> </w:t>
      </w:r>
      <w:r>
        <w:rPr>
          <w:rFonts w:hint="eastAsia" w:ascii="仿宋_GB2312" w:eastAsia="仿宋_GB2312"/>
          <w:sz w:val="32"/>
          <w:szCs w:val="32"/>
        </w:rPr>
        <w:t>区委组织部、</w:t>
      </w:r>
      <w:r>
        <w:rPr>
          <w:rFonts w:hint="eastAsia" w:ascii="仿宋_GB2312" w:hAnsi="宋体" w:eastAsia="仿宋_GB2312"/>
          <w:sz w:val="32"/>
          <w:szCs w:val="32"/>
        </w:rPr>
        <w:t>区人力资源和社会保障局</w:t>
      </w:r>
      <w:r>
        <w:rPr>
          <w:rFonts w:hint="eastAsia" w:ascii="仿宋_GB2312" w:eastAsia="仿宋_GB2312"/>
          <w:sz w:val="32"/>
          <w:szCs w:val="32"/>
        </w:rPr>
        <w:t>组织的调训和统一培训，上级有关部门组织的出国（境）培训，不适用本办法，按有关规定执行。</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第二十四条</w:t>
      </w:r>
      <w:r>
        <w:rPr>
          <w:rFonts w:ascii="仿宋_GB2312" w:eastAsia="仿宋_GB2312"/>
          <w:sz w:val="32"/>
          <w:szCs w:val="32"/>
        </w:rPr>
        <w:t xml:space="preserve"> </w:t>
      </w:r>
      <w:r>
        <w:rPr>
          <w:rFonts w:hint="eastAsia" w:ascii="仿宋_GB2312" w:eastAsia="仿宋_GB2312"/>
          <w:sz w:val="32"/>
          <w:szCs w:val="32"/>
        </w:rPr>
        <w:t>本办法的由区财政局会同区委组织部、</w:t>
      </w:r>
      <w:r>
        <w:rPr>
          <w:rFonts w:hint="eastAsia" w:ascii="仿宋_GB2312" w:hAnsi="宋体" w:eastAsia="仿宋_GB2312"/>
          <w:sz w:val="32"/>
          <w:szCs w:val="32"/>
        </w:rPr>
        <w:t>区人力资源和社会保障局</w:t>
      </w:r>
      <w:r>
        <w:rPr>
          <w:rFonts w:hint="eastAsia" w:ascii="仿宋_GB2312" w:eastAsia="仿宋_GB2312"/>
          <w:sz w:val="32"/>
          <w:szCs w:val="32"/>
        </w:rPr>
        <w:t>负责解释。</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第二十五条</w:t>
      </w:r>
      <w:r>
        <w:rPr>
          <w:rFonts w:ascii="仿宋_GB2312" w:eastAsia="仿宋_GB2312"/>
          <w:sz w:val="32"/>
          <w:szCs w:val="32"/>
        </w:rPr>
        <w:t xml:space="preserve"> </w:t>
      </w:r>
      <w:r>
        <w:rPr>
          <w:rFonts w:hint="eastAsia" w:ascii="仿宋_GB2312" w:eastAsia="仿宋_GB2312"/>
          <w:sz w:val="32"/>
          <w:szCs w:val="32"/>
        </w:rPr>
        <w:t>区本级事业单位培训费用管理参照办法执行。</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第二十六条</w:t>
      </w:r>
      <w:r>
        <w:rPr>
          <w:rFonts w:ascii="仿宋_GB2312" w:eastAsia="仿宋_GB2312"/>
          <w:sz w:val="32"/>
          <w:szCs w:val="32"/>
        </w:rPr>
        <w:t xml:space="preserve"> </w:t>
      </w:r>
      <w:r>
        <w:rPr>
          <w:rFonts w:hint="eastAsia" w:ascii="仿宋_GB2312" w:eastAsia="仿宋_GB2312"/>
          <w:sz w:val="32"/>
          <w:szCs w:val="32"/>
        </w:rPr>
        <w:t>本办法自</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日起施行。《柳州市城中区本级培训费管理办法》（城中财字</w:t>
      </w:r>
      <w:r>
        <w:rPr>
          <w:rFonts w:hint="eastAsia" w:ascii="仿宋_GB2312" w:hAnsi="宋体" w:eastAsia="仿宋_GB2312"/>
          <w:sz w:val="32"/>
          <w:szCs w:val="32"/>
        </w:rPr>
        <w:t>〔</w:t>
      </w:r>
      <w:r>
        <w:rPr>
          <w:rFonts w:ascii="仿宋_GB2312" w:hAnsi="宋体" w:eastAsia="仿宋_GB2312"/>
          <w:sz w:val="32"/>
          <w:szCs w:val="32"/>
        </w:rPr>
        <w:t>2014</w:t>
      </w:r>
      <w:r>
        <w:rPr>
          <w:rFonts w:hint="eastAsia" w:ascii="仿宋_GB2312" w:hAnsi="宋体" w:eastAsia="仿宋_GB2312"/>
          <w:sz w:val="32"/>
          <w:szCs w:val="32"/>
        </w:rPr>
        <w:t>〕</w:t>
      </w:r>
      <w:r>
        <w:rPr>
          <w:rFonts w:ascii="仿宋_GB2312" w:hAnsi="宋体" w:eastAsia="仿宋_GB2312"/>
          <w:sz w:val="32"/>
          <w:szCs w:val="32"/>
        </w:rPr>
        <w:t>47</w:t>
      </w:r>
      <w:r>
        <w:rPr>
          <w:rFonts w:hint="eastAsia" w:ascii="仿宋_GB2312" w:hAnsi="宋体" w:eastAsia="仿宋_GB2312"/>
          <w:sz w:val="32"/>
          <w:szCs w:val="32"/>
        </w:rPr>
        <w:t>号</w:t>
      </w:r>
      <w:r>
        <w:rPr>
          <w:rFonts w:hint="eastAsia"/>
          <w:sz w:val="32"/>
          <w:szCs w:val="32"/>
        </w:rPr>
        <w:t>）</w:t>
      </w:r>
      <w:r>
        <w:rPr>
          <w:rFonts w:hint="eastAsia" w:ascii="仿宋_GB2312" w:eastAsia="仿宋_GB2312"/>
          <w:sz w:val="32"/>
          <w:szCs w:val="32"/>
        </w:rPr>
        <w:t>同时废止。</w:t>
      </w:r>
    </w:p>
    <w:p>
      <w:r>
        <w:rPr>
          <w:rFonts w:ascii="仿宋_GB2312" w:eastAsia="仿宋_GB2312"/>
          <w:sz w:val="32"/>
          <w:szCs w:val="32"/>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wYzMzZWU4MWNhNTdkNzY2M2IwZGRjOGFlMzgzMGMifQ=="/>
  </w:docVars>
  <w:rsids>
    <w:rsidRoot w:val="005770EA"/>
    <w:rsid w:val="000402B6"/>
    <w:rsid w:val="0004451B"/>
    <w:rsid w:val="00046EB1"/>
    <w:rsid w:val="000A4337"/>
    <w:rsid w:val="000A7F35"/>
    <w:rsid w:val="000F452D"/>
    <w:rsid w:val="0014464A"/>
    <w:rsid w:val="00155E59"/>
    <w:rsid w:val="00176E40"/>
    <w:rsid w:val="001916E1"/>
    <w:rsid w:val="001934DF"/>
    <w:rsid w:val="001A7477"/>
    <w:rsid w:val="00201C34"/>
    <w:rsid w:val="00215BF0"/>
    <w:rsid w:val="0022164A"/>
    <w:rsid w:val="00223F70"/>
    <w:rsid w:val="00226282"/>
    <w:rsid w:val="00230850"/>
    <w:rsid w:val="002348FC"/>
    <w:rsid w:val="00236DE2"/>
    <w:rsid w:val="00237815"/>
    <w:rsid w:val="00255899"/>
    <w:rsid w:val="00296E57"/>
    <w:rsid w:val="002B66FC"/>
    <w:rsid w:val="002D7E0D"/>
    <w:rsid w:val="00304D78"/>
    <w:rsid w:val="00331AFF"/>
    <w:rsid w:val="00332A3B"/>
    <w:rsid w:val="00354895"/>
    <w:rsid w:val="00354EA9"/>
    <w:rsid w:val="003A381A"/>
    <w:rsid w:val="003E1AFD"/>
    <w:rsid w:val="003F75C7"/>
    <w:rsid w:val="004216F8"/>
    <w:rsid w:val="004270A7"/>
    <w:rsid w:val="004B1C3F"/>
    <w:rsid w:val="004B68F0"/>
    <w:rsid w:val="004E5E3B"/>
    <w:rsid w:val="005251DD"/>
    <w:rsid w:val="00543D0D"/>
    <w:rsid w:val="00544480"/>
    <w:rsid w:val="005747A6"/>
    <w:rsid w:val="005770EA"/>
    <w:rsid w:val="0059060E"/>
    <w:rsid w:val="00596CC1"/>
    <w:rsid w:val="005A0C8C"/>
    <w:rsid w:val="005A7A36"/>
    <w:rsid w:val="005B6141"/>
    <w:rsid w:val="005B7CB5"/>
    <w:rsid w:val="00633D0A"/>
    <w:rsid w:val="006546C8"/>
    <w:rsid w:val="006D3CC2"/>
    <w:rsid w:val="006E0FBE"/>
    <w:rsid w:val="006F3FED"/>
    <w:rsid w:val="00714A80"/>
    <w:rsid w:val="007329B4"/>
    <w:rsid w:val="007A191B"/>
    <w:rsid w:val="007B74D3"/>
    <w:rsid w:val="007D0E8F"/>
    <w:rsid w:val="007E6BA3"/>
    <w:rsid w:val="00854A87"/>
    <w:rsid w:val="00864375"/>
    <w:rsid w:val="00870C33"/>
    <w:rsid w:val="00874A09"/>
    <w:rsid w:val="008871D6"/>
    <w:rsid w:val="00897DE4"/>
    <w:rsid w:val="008B0A1C"/>
    <w:rsid w:val="008E466C"/>
    <w:rsid w:val="0092691D"/>
    <w:rsid w:val="00976E7D"/>
    <w:rsid w:val="009805FB"/>
    <w:rsid w:val="00981B40"/>
    <w:rsid w:val="009B13B2"/>
    <w:rsid w:val="009C7CD6"/>
    <w:rsid w:val="009E2D9B"/>
    <w:rsid w:val="00A07900"/>
    <w:rsid w:val="00A15B85"/>
    <w:rsid w:val="00A200E0"/>
    <w:rsid w:val="00A252E6"/>
    <w:rsid w:val="00A36DF1"/>
    <w:rsid w:val="00A77BEE"/>
    <w:rsid w:val="00AA27A3"/>
    <w:rsid w:val="00AB510E"/>
    <w:rsid w:val="00AC77DD"/>
    <w:rsid w:val="00AD31AE"/>
    <w:rsid w:val="00B31C4F"/>
    <w:rsid w:val="00B34815"/>
    <w:rsid w:val="00B4080E"/>
    <w:rsid w:val="00B5716E"/>
    <w:rsid w:val="00B66A3C"/>
    <w:rsid w:val="00B94509"/>
    <w:rsid w:val="00BF0DBF"/>
    <w:rsid w:val="00C363F5"/>
    <w:rsid w:val="00C4236D"/>
    <w:rsid w:val="00C602EC"/>
    <w:rsid w:val="00C66AEF"/>
    <w:rsid w:val="00C75762"/>
    <w:rsid w:val="00CA60ED"/>
    <w:rsid w:val="00CD0949"/>
    <w:rsid w:val="00CD575A"/>
    <w:rsid w:val="00CD5F7B"/>
    <w:rsid w:val="00D3144F"/>
    <w:rsid w:val="00D45955"/>
    <w:rsid w:val="00D76829"/>
    <w:rsid w:val="00DA0FCB"/>
    <w:rsid w:val="00DA6AEE"/>
    <w:rsid w:val="00DC3452"/>
    <w:rsid w:val="00E23E94"/>
    <w:rsid w:val="00E3313F"/>
    <w:rsid w:val="00E438D9"/>
    <w:rsid w:val="00E71176"/>
    <w:rsid w:val="00E77360"/>
    <w:rsid w:val="00F03FCF"/>
    <w:rsid w:val="00F25B24"/>
    <w:rsid w:val="00F613E1"/>
    <w:rsid w:val="00F72AF3"/>
    <w:rsid w:val="00F81B8E"/>
    <w:rsid w:val="00F9280F"/>
    <w:rsid w:val="24890B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99"/>
    <w:rPr>
      <w:rFonts w:cs="Times New Roman"/>
    </w:rPr>
  </w:style>
  <w:style w:type="paragraph" w:styleId="8">
    <w:name w:val="List Paragraph"/>
    <w:basedOn w:val="1"/>
    <w:qFormat/>
    <w:uiPriority w:val="99"/>
    <w:pPr>
      <w:ind w:firstLine="420" w:firstLineChars="200"/>
    </w:pPr>
  </w:style>
  <w:style w:type="character" w:customStyle="1" w:styleId="9">
    <w:name w:val="Header Char"/>
    <w:basedOn w:val="6"/>
    <w:link w:val="3"/>
    <w:semiHidden/>
    <w:locked/>
    <w:uiPriority w:val="99"/>
    <w:rPr>
      <w:rFonts w:eastAsia="宋体" w:cs="Times New Roman"/>
      <w:sz w:val="18"/>
      <w:szCs w:val="18"/>
    </w:rPr>
  </w:style>
  <w:style w:type="character" w:customStyle="1" w:styleId="10">
    <w:name w:val="Footer Char"/>
    <w:basedOn w:val="6"/>
    <w:link w:val="2"/>
    <w:semiHidden/>
    <w:locked/>
    <w:uiPriority w:val="99"/>
    <w:rPr>
      <w:rFonts w:eastAsia="宋体" w:cs="Times New Roman"/>
      <w:sz w:val="18"/>
      <w:szCs w:val="18"/>
    </w:rPr>
  </w:style>
  <w:style w:type="paragraph" w:customStyle="1" w:styleId="11">
    <w:name w:val="Char1"/>
    <w:basedOn w:val="1"/>
    <w:uiPriority w:val="99"/>
    <w:rPr>
      <w:rFonts w:ascii="Tahoma" w:hAnsi="Tahoma" w:cs="Tahom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Sky123.Org</Company>
  <Pages>6</Pages>
  <Words>3005</Words>
  <Characters>3048</Characters>
  <Lines>0</Lines>
  <Paragraphs>0</Paragraphs>
  <TotalTime>172</TotalTime>
  <ScaleCrop>false</ScaleCrop>
  <LinksUpToDate>false</LinksUpToDate>
  <CharactersWithSpaces>3090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2018-05-15T02:12:00Z</dcterms:created>
  <dc:creator>韦红波</dc:creator>
  <cp:lastModifiedBy>Rancho</cp:lastModifiedBy>
  <cp:lastPrinted>2018-06-29T03:38:00Z</cp:lastPrinted>
  <dcterms:modified xsi:type="dcterms:W3CDTF">2023-09-20T08:01:03Z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06A7525777654866A7DA787135732CF2_12</vt:lpwstr>
  </property>
</Properties>
</file>