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D0B0F9">
      <w:pPr>
        <w:adjustRightInd w:val="0"/>
        <w:snapToGrid w:val="0"/>
        <w:spacing w:line="570" w:lineRule="exact"/>
        <w:jc w:val="center"/>
        <w:rPr>
          <w:rFonts w:hint="eastAsia" w:ascii="方正小标宋_GBK" w:eastAsia="方正小标宋_GBK"/>
          <w:color w:val="000000"/>
          <w:sz w:val="44"/>
          <w:szCs w:val="44"/>
        </w:rPr>
      </w:pPr>
      <w:bookmarkStart w:id="0" w:name="_GoBack"/>
      <w:r>
        <w:rPr>
          <w:rFonts w:hint="eastAsia" w:ascii="方正小标宋简体" w:hAnsi="方正小标宋简体" w:eastAsia="方正小标宋简体" w:cs="方正小标宋简体"/>
          <w:color w:val="000000"/>
          <w:sz w:val="44"/>
          <w:szCs w:val="44"/>
          <w:lang w:eastAsia="zh-CN"/>
        </w:rPr>
        <w:t>城中区</w:t>
      </w:r>
      <w:r>
        <w:rPr>
          <w:rFonts w:hint="eastAsia" w:ascii="方正小标宋简体" w:hAnsi="方正小标宋简体" w:eastAsia="方正小标宋简体" w:cs="方正小标宋简体"/>
          <w:color w:val="000000"/>
          <w:sz w:val="44"/>
          <w:szCs w:val="44"/>
        </w:rPr>
        <w:t>新闻出版局权责清单</w:t>
      </w:r>
      <w:bookmarkEnd w:id="0"/>
    </w:p>
    <w:tbl>
      <w:tblPr>
        <w:tblStyle w:val="4"/>
        <w:tblW w:w="21092" w:type="dxa"/>
        <w:jc w:val="center"/>
        <w:tblLayout w:type="fixed"/>
        <w:tblCellMar>
          <w:top w:w="28" w:type="dxa"/>
          <w:left w:w="28" w:type="dxa"/>
          <w:bottom w:w="28" w:type="dxa"/>
          <w:right w:w="28" w:type="dxa"/>
        </w:tblCellMar>
      </w:tblPr>
      <w:tblGrid>
        <w:gridCol w:w="500"/>
        <w:gridCol w:w="703"/>
        <w:gridCol w:w="641"/>
        <w:gridCol w:w="603"/>
        <w:gridCol w:w="628"/>
        <w:gridCol w:w="1122"/>
        <w:gridCol w:w="3086"/>
        <w:gridCol w:w="3086"/>
        <w:gridCol w:w="3086"/>
        <w:gridCol w:w="2685"/>
        <w:gridCol w:w="3261"/>
        <w:gridCol w:w="1210"/>
        <w:gridCol w:w="481"/>
      </w:tblGrid>
      <w:tr w14:paraId="2E10C9A5">
        <w:tblPrEx>
          <w:tblCellMar>
            <w:top w:w="28" w:type="dxa"/>
            <w:left w:w="28" w:type="dxa"/>
            <w:bottom w:w="28" w:type="dxa"/>
            <w:right w:w="28" w:type="dxa"/>
          </w:tblCellMar>
        </w:tblPrEx>
        <w:trPr>
          <w:trHeight w:val="28" w:hRule="atLeast"/>
          <w:tblHeader/>
          <w:jc w:val="center"/>
        </w:trPr>
        <w:tc>
          <w:tcPr>
            <w:tcW w:w="500" w:type="dxa"/>
            <w:vMerge w:val="restart"/>
            <w:tcBorders>
              <w:top w:val="single" w:color="auto" w:sz="4" w:space="0"/>
              <w:left w:val="single" w:color="auto" w:sz="4" w:space="0"/>
              <w:bottom w:val="single" w:color="auto" w:sz="4" w:space="0"/>
              <w:right w:val="single" w:color="auto" w:sz="4" w:space="0"/>
            </w:tcBorders>
            <w:noWrap w:val="0"/>
            <w:vAlign w:val="center"/>
          </w:tcPr>
          <w:p w14:paraId="366D3F7F">
            <w:pPr>
              <w:adjustRightInd w:val="0"/>
              <w:snapToGrid w:val="0"/>
              <w:spacing w:line="30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序号</w:t>
            </w:r>
          </w:p>
        </w:tc>
        <w:tc>
          <w:tcPr>
            <w:tcW w:w="703" w:type="dxa"/>
            <w:vMerge w:val="restart"/>
            <w:tcBorders>
              <w:top w:val="single" w:color="auto" w:sz="4" w:space="0"/>
              <w:left w:val="nil"/>
              <w:right w:val="single" w:color="auto" w:sz="4" w:space="0"/>
            </w:tcBorders>
            <w:noWrap w:val="0"/>
            <w:vAlign w:val="center"/>
          </w:tcPr>
          <w:p w14:paraId="52D63A86">
            <w:pPr>
              <w:adjustRightInd w:val="0"/>
              <w:snapToGrid w:val="0"/>
              <w:spacing w:line="30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权力分类</w:t>
            </w:r>
          </w:p>
        </w:tc>
        <w:tc>
          <w:tcPr>
            <w:tcW w:w="6080" w:type="dxa"/>
            <w:gridSpan w:val="5"/>
            <w:tcBorders>
              <w:top w:val="single" w:color="auto" w:sz="4" w:space="0"/>
              <w:left w:val="nil"/>
              <w:bottom w:val="single" w:color="auto" w:sz="4" w:space="0"/>
              <w:right w:val="single" w:color="auto" w:sz="4" w:space="0"/>
            </w:tcBorders>
            <w:noWrap w:val="0"/>
            <w:vAlign w:val="center"/>
          </w:tcPr>
          <w:p w14:paraId="3049A11D">
            <w:pPr>
              <w:adjustRightInd w:val="0"/>
              <w:snapToGrid w:val="0"/>
              <w:spacing w:line="30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权力清单</w:t>
            </w:r>
          </w:p>
        </w:tc>
        <w:tc>
          <w:tcPr>
            <w:tcW w:w="13328" w:type="dxa"/>
            <w:gridSpan w:val="5"/>
            <w:tcBorders>
              <w:top w:val="single" w:color="auto" w:sz="4" w:space="0"/>
              <w:left w:val="nil"/>
              <w:bottom w:val="single" w:color="auto" w:sz="4" w:space="0"/>
              <w:right w:val="single" w:color="auto" w:sz="4" w:space="0"/>
            </w:tcBorders>
            <w:noWrap w:val="0"/>
            <w:vAlign w:val="center"/>
          </w:tcPr>
          <w:p w14:paraId="189B9CCD">
            <w:pPr>
              <w:adjustRightInd w:val="0"/>
              <w:snapToGrid w:val="0"/>
              <w:spacing w:line="30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责任清单</w:t>
            </w:r>
          </w:p>
        </w:tc>
        <w:tc>
          <w:tcPr>
            <w:tcW w:w="481" w:type="dxa"/>
            <w:vMerge w:val="restart"/>
            <w:tcBorders>
              <w:top w:val="single" w:color="auto" w:sz="4" w:space="0"/>
              <w:left w:val="nil"/>
              <w:right w:val="single" w:color="auto" w:sz="4" w:space="0"/>
            </w:tcBorders>
            <w:noWrap w:val="0"/>
            <w:vAlign w:val="center"/>
          </w:tcPr>
          <w:p w14:paraId="3A293B51">
            <w:pPr>
              <w:adjustRightInd w:val="0"/>
              <w:snapToGrid w:val="0"/>
              <w:spacing w:line="30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备注</w:t>
            </w:r>
          </w:p>
        </w:tc>
      </w:tr>
      <w:tr w14:paraId="166FFD21">
        <w:tblPrEx>
          <w:tblCellMar>
            <w:top w:w="28" w:type="dxa"/>
            <w:left w:w="28" w:type="dxa"/>
            <w:bottom w:w="28" w:type="dxa"/>
            <w:right w:w="28" w:type="dxa"/>
          </w:tblCellMar>
        </w:tblPrEx>
        <w:trPr>
          <w:trHeight w:val="28" w:hRule="atLeast"/>
          <w:tblHeader/>
          <w:jc w:val="center"/>
        </w:trPr>
        <w:tc>
          <w:tcPr>
            <w:tcW w:w="500" w:type="dxa"/>
            <w:vMerge w:val="continue"/>
            <w:tcBorders>
              <w:top w:val="single" w:color="auto" w:sz="4" w:space="0"/>
              <w:left w:val="single" w:color="auto" w:sz="4" w:space="0"/>
              <w:bottom w:val="single" w:color="auto" w:sz="4" w:space="0"/>
              <w:right w:val="single" w:color="auto" w:sz="4" w:space="0"/>
            </w:tcBorders>
            <w:noWrap w:val="0"/>
            <w:vAlign w:val="center"/>
          </w:tcPr>
          <w:p w14:paraId="618B6B3C">
            <w:pPr>
              <w:adjustRightInd w:val="0"/>
              <w:snapToGrid w:val="0"/>
              <w:spacing w:line="300" w:lineRule="exact"/>
              <w:jc w:val="center"/>
              <w:rPr>
                <w:rFonts w:hint="eastAsia" w:ascii="仿宋_GB2312" w:hAnsi="仿宋_GB2312" w:eastAsia="仿宋_GB2312" w:cs="仿宋_GB2312"/>
                <w:color w:val="auto"/>
                <w:kern w:val="0"/>
                <w:sz w:val="24"/>
                <w:szCs w:val="24"/>
              </w:rPr>
            </w:pPr>
          </w:p>
        </w:tc>
        <w:tc>
          <w:tcPr>
            <w:tcW w:w="703" w:type="dxa"/>
            <w:vMerge w:val="continue"/>
            <w:tcBorders>
              <w:left w:val="nil"/>
              <w:bottom w:val="single" w:color="auto" w:sz="4" w:space="0"/>
              <w:right w:val="single" w:color="auto" w:sz="4" w:space="0"/>
            </w:tcBorders>
            <w:noWrap w:val="0"/>
            <w:vAlign w:val="center"/>
          </w:tcPr>
          <w:p w14:paraId="704F5D68">
            <w:pPr>
              <w:adjustRightInd w:val="0"/>
              <w:snapToGrid w:val="0"/>
              <w:spacing w:line="300" w:lineRule="exact"/>
              <w:jc w:val="center"/>
              <w:rPr>
                <w:rFonts w:hint="eastAsia" w:ascii="仿宋_GB2312" w:hAnsi="仿宋_GB2312" w:eastAsia="仿宋_GB2312" w:cs="仿宋_GB2312"/>
                <w:color w:val="auto"/>
                <w:kern w:val="0"/>
                <w:sz w:val="24"/>
                <w:szCs w:val="24"/>
              </w:rPr>
            </w:pPr>
          </w:p>
        </w:tc>
        <w:tc>
          <w:tcPr>
            <w:tcW w:w="641" w:type="dxa"/>
            <w:tcBorders>
              <w:top w:val="nil"/>
              <w:left w:val="nil"/>
              <w:bottom w:val="single" w:color="auto" w:sz="4" w:space="0"/>
              <w:right w:val="single" w:color="auto" w:sz="4" w:space="0"/>
            </w:tcBorders>
            <w:noWrap w:val="0"/>
            <w:vAlign w:val="center"/>
          </w:tcPr>
          <w:p w14:paraId="6D6B0437">
            <w:pPr>
              <w:adjustRightInd w:val="0"/>
              <w:snapToGrid w:val="0"/>
              <w:spacing w:line="30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项目名称</w:t>
            </w:r>
          </w:p>
        </w:tc>
        <w:tc>
          <w:tcPr>
            <w:tcW w:w="603" w:type="dxa"/>
            <w:tcBorders>
              <w:top w:val="nil"/>
              <w:left w:val="nil"/>
              <w:bottom w:val="single" w:color="auto" w:sz="4" w:space="0"/>
              <w:right w:val="single" w:color="auto" w:sz="4" w:space="0"/>
            </w:tcBorders>
            <w:noWrap w:val="0"/>
            <w:vAlign w:val="center"/>
          </w:tcPr>
          <w:p w14:paraId="30056606">
            <w:pPr>
              <w:adjustRightInd w:val="0"/>
              <w:snapToGrid w:val="0"/>
              <w:spacing w:line="30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子项名称</w:t>
            </w:r>
          </w:p>
        </w:tc>
        <w:tc>
          <w:tcPr>
            <w:tcW w:w="628" w:type="dxa"/>
            <w:tcBorders>
              <w:top w:val="nil"/>
              <w:left w:val="nil"/>
              <w:bottom w:val="single" w:color="auto" w:sz="4" w:space="0"/>
              <w:right w:val="single" w:color="auto" w:sz="4" w:space="0"/>
            </w:tcBorders>
            <w:noWrap w:val="0"/>
            <w:vAlign w:val="center"/>
          </w:tcPr>
          <w:p w14:paraId="18E9A9C6">
            <w:pPr>
              <w:adjustRightInd w:val="0"/>
              <w:snapToGrid w:val="0"/>
              <w:spacing w:line="30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实施</w:t>
            </w:r>
          </w:p>
          <w:p w14:paraId="13C5F129">
            <w:pPr>
              <w:adjustRightInd w:val="0"/>
              <w:snapToGrid w:val="0"/>
              <w:spacing w:line="30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主体</w:t>
            </w:r>
          </w:p>
        </w:tc>
        <w:tc>
          <w:tcPr>
            <w:tcW w:w="1122" w:type="dxa"/>
            <w:tcBorders>
              <w:top w:val="nil"/>
              <w:left w:val="nil"/>
              <w:bottom w:val="single" w:color="auto" w:sz="4" w:space="0"/>
              <w:right w:val="single" w:color="auto" w:sz="4" w:space="0"/>
            </w:tcBorders>
            <w:noWrap w:val="0"/>
            <w:vAlign w:val="center"/>
          </w:tcPr>
          <w:p w14:paraId="0CA43B46">
            <w:pPr>
              <w:adjustRightInd w:val="0"/>
              <w:snapToGrid w:val="0"/>
              <w:spacing w:line="30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承办的</w:t>
            </w:r>
          </w:p>
          <w:p w14:paraId="0DF3C1DB">
            <w:pPr>
              <w:adjustRightInd w:val="0"/>
              <w:snapToGrid w:val="0"/>
              <w:spacing w:line="30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内设机构</w:t>
            </w:r>
          </w:p>
        </w:tc>
        <w:tc>
          <w:tcPr>
            <w:tcW w:w="3086" w:type="dxa"/>
            <w:tcBorders>
              <w:top w:val="single" w:color="auto" w:sz="4" w:space="0"/>
              <w:left w:val="nil"/>
              <w:bottom w:val="single" w:color="auto" w:sz="4" w:space="0"/>
              <w:right w:val="single" w:color="auto" w:sz="4" w:space="0"/>
            </w:tcBorders>
            <w:noWrap w:val="0"/>
            <w:vAlign w:val="center"/>
          </w:tcPr>
          <w:p w14:paraId="3921AA16">
            <w:pPr>
              <w:adjustRightInd w:val="0"/>
              <w:snapToGrid w:val="0"/>
              <w:spacing w:line="30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实施依据</w:t>
            </w:r>
          </w:p>
        </w:tc>
        <w:tc>
          <w:tcPr>
            <w:tcW w:w="3086" w:type="dxa"/>
            <w:tcBorders>
              <w:top w:val="nil"/>
              <w:left w:val="single" w:color="auto" w:sz="4" w:space="0"/>
              <w:bottom w:val="single" w:color="auto" w:sz="4" w:space="0"/>
              <w:right w:val="single" w:color="auto" w:sz="4" w:space="0"/>
            </w:tcBorders>
            <w:noWrap w:val="0"/>
            <w:vAlign w:val="center"/>
          </w:tcPr>
          <w:p w14:paraId="6D9BE4BF">
            <w:pPr>
              <w:adjustRightInd w:val="0"/>
              <w:snapToGrid w:val="0"/>
              <w:spacing w:line="30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责任事项</w:t>
            </w:r>
          </w:p>
        </w:tc>
        <w:tc>
          <w:tcPr>
            <w:tcW w:w="3086" w:type="dxa"/>
            <w:tcBorders>
              <w:top w:val="nil"/>
              <w:left w:val="nil"/>
              <w:bottom w:val="single" w:color="auto" w:sz="4" w:space="0"/>
              <w:right w:val="single" w:color="auto" w:sz="4" w:space="0"/>
            </w:tcBorders>
            <w:noWrap w:val="0"/>
            <w:vAlign w:val="center"/>
          </w:tcPr>
          <w:p w14:paraId="7187F1DC">
            <w:pPr>
              <w:adjustRightInd w:val="0"/>
              <w:snapToGrid w:val="0"/>
              <w:spacing w:line="30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责任事项依据</w:t>
            </w:r>
          </w:p>
        </w:tc>
        <w:tc>
          <w:tcPr>
            <w:tcW w:w="2685" w:type="dxa"/>
            <w:tcBorders>
              <w:top w:val="nil"/>
              <w:left w:val="nil"/>
              <w:bottom w:val="single" w:color="auto" w:sz="4" w:space="0"/>
              <w:right w:val="single" w:color="auto" w:sz="4" w:space="0"/>
            </w:tcBorders>
            <w:noWrap w:val="0"/>
            <w:vAlign w:val="center"/>
          </w:tcPr>
          <w:p w14:paraId="7328DA0B">
            <w:pPr>
              <w:adjustRightInd w:val="0"/>
              <w:snapToGrid w:val="0"/>
              <w:spacing w:line="30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追责情形</w:t>
            </w:r>
          </w:p>
        </w:tc>
        <w:tc>
          <w:tcPr>
            <w:tcW w:w="3261" w:type="dxa"/>
            <w:tcBorders>
              <w:top w:val="nil"/>
              <w:left w:val="nil"/>
              <w:bottom w:val="single" w:color="auto" w:sz="4" w:space="0"/>
              <w:right w:val="single" w:color="auto" w:sz="4" w:space="0"/>
            </w:tcBorders>
            <w:noWrap w:val="0"/>
            <w:vAlign w:val="center"/>
          </w:tcPr>
          <w:p w14:paraId="16051AD3">
            <w:pPr>
              <w:adjustRightInd w:val="0"/>
              <w:snapToGrid w:val="0"/>
              <w:spacing w:line="30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追责依据</w:t>
            </w:r>
          </w:p>
        </w:tc>
        <w:tc>
          <w:tcPr>
            <w:tcW w:w="1210" w:type="dxa"/>
            <w:tcBorders>
              <w:top w:val="single" w:color="auto" w:sz="4" w:space="0"/>
              <w:left w:val="nil"/>
              <w:bottom w:val="single" w:color="auto" w:sz="4" w:space="0"/>
              <w:right w:val="single" w:color="auto" w:sz="4" w:space="0"/>
            </w:tcBorders>
            <w:noWrap w:val="0"/>
            <w:vAlign w:val="center"/>
          </w:tcPr>
          <w:p w14:paraId="189E0AEF">
            <w:pPr>
              <w:adjustRightInd w:val="0"/>
              <w:snapToGrid w:val="0"/>
              <w:spacing w:line="300" w:lineRule="exact"/>
              <w:jc w:val="center"/>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免责事项</w:t>
            </w:r>
          </w:p>
        </w:tc>
        <w:tc>
          <w:tcPr>
            <w:tcW w:w="481" w:type="dxa"/>
            <w:vMerge w:val="continue"/>
            <w:tcBorders>
              <w:left w:val="nil"/>
              <w:bottom w:val="single" w:color="auto" w:sz="4" w:space="0"/>
              <w:right w:val="single" w:color="auto" w:sz="4" w:space="0"/>
            </w:tcBorders>
            <w:noWrap w:val="0"/>
            <w:vAlign w:val="center"/>
          </w:tcPr>
          <w:p w14:paraId="2852CC8D">
            <w:pPr>
              <w:adjustRightInd w:val="0"/>
              <w:snapToGrid w:val="0"/>
              <w:spacing w:line="300" w:lineRule="exact"/>
              <w:jc w:val="center"/>
              <w:rPr>
                <w:rFonts w:hint="eastAsia" w:ascii="仿宋_GB2312" w:hAnsi="仿宋_GB2312" w:eastAsia="仿宋_GB2312" w:cs="仿宋_GB2312"/>
                <w:color w:val="auto"/>
                <w:kern w:val="0"/>
                <w:sz w:val="24"/>
                <w:szCs w:val="24"/>
              </w:rPr>
            </w:pPr>
          </w:p>
        </w:tc>
      </w:tr>
      <w:tr w14:paraId="766754EF">
        <w:tblPrEx>
          <w:tblCellMar>
            <w:top w:w="28" w:type="dxa"/>
            <w:left w:w="28" w:type="dxa"/>
            <w:bottom w:w="28" w:type="dxa"/>
            <w:right w:w="28" w:type="dxa"/>
          </w:tblCellMar>
        </w:tblPrEx>
        <w:trPr>
          <w:trHeight w:val="11339" w:hRule="atLeast"/>
          <w:jc w:val="center"/>
        </w:trPr>
        <w:tc>
          <w:tcPr>
            <w:tcW w:w="500" w:type="dxa"/>
            <w:tcBorders>
              <w:top w:val="single" w:color="auto" w:sz="4" w:space="0"/>
              <w:left w:val="single" w:color="auto" w:sz="4" w:space="0"/>
              <w:bottom w:val="single" w:color="auto" w:sz="4" w:space="0"/>
              <w:right w:val="single" w:color="auto" w:sz="4" w:space="0"/>
            </w:tcBorders>
            <w:noWrap w:val="0"/>
            <w:vAlign w:val="center"/>
          </w:tcPr>
          <w:p w14:paraId="4F742D1E">
            <w:pPr>
              <w:adjustRightInd w:val="0"/>
              <w:snapToGrid w:val="0"/>
              <w:spacing w:line="300" w:lineRule="exact"/>
              <w:jc w:val="center"/>
              <w:rPr>
                <w:rFonts w:hint="eastAsia" w:ascii="仿宋_GB2312" w:hAnsi="仿宋_GB2312" w:eastAsia="仿宋_GB2312" w:cs="仿宋_GB2312"/>
                <w:color w:val="auto"/>
                <w:kern w:val="0"/>
                <w:sz w:val="20"/>
                <w:lang w:val="en-US" w:eastAsia="zh-CN"/>
              </w:rPr>
            </w:pPr>
            <w:r>
              <w:rPr>
                <w:rFonts w:hint="eastAsia" w:ascii="仿宋_GB2312" w:hAnsi="仿宋_GB2312" w:eastAsia="仿宋_GB2312" w:cs="仿宋_GB2312"/>
                <w:color w:val="auto"/>
                <w:kern w:val="0"/>
                <w:sz w:val="20"/>
                <w:lang w:val="en-US" w:eastAsia="zh-CN"/>
              </w:rPr>
              <w:t>1</w:t>
            </w:r>
          </w:p>
        </w:tc>
        <w:tc>
          <w:tcPr>
            <w:tcW w:w="703" w:type="dxa"/>
            <w:tcBorders>
              <w:top w:val="single" w:color="auto" w:sz="4" w:space="0"/>
              <w:left w:val="single" w:color="auto" w:sz="4" w:space="0"/>
              <w:bottom w:val="single" w:color="auto" w:sz="4" w:space="0"/>
              <w:right w:val="single" w:color="auto" w:sz="4" w:space="0"/>
            </w:tcBorders>
            <w:noWrap w:val="0"/>
            <w:vAlign w:val="center"/>
          </w:tcPr>
          <w:p w14:paraId="7E8D5EFB">
            <w:pPr>
              <w:widowControl/>
              <w:adjustRightInd w:val="0"/>
              <w:snapToGrid w:val="0"/>
              <w:spacing w:line="200" w:lineRule="exact"/>
              <w:jc w:val="center"/>
              <w:rPr>
                <w:rFonts w:hint="eastAsia" w:eastAsia="仿宋_GB2312" w:cs="仿宋_GB2312"/>
                <w:snapToGrid w:val="0"/>
                <w:color w:val="auto"/>
                <w:kern w:val="2"/>
                <w:sz w:val="20"/>
                <w:szCs w:val="20"/>
                <w:lang w:val="en-US" w:eastAsia="zh-CN" w:bidi="ar-SA"/>
              </w:rPr>
            </w:pPr>
            <w:r>
              <w:rPr>
                <w:rFonts w:hint="eastAsia" w:eastAsia="仿宋_GB2312" w:cs="仿宋_GB2312"/>
                <w:snapToGrid w:val="0"/>
                <w:color w:val="auto"/>
                <w:sz w:val="20"/>
                <w:szCs w:val="20"/>
              </w:rPr>
              <w:t>行政许可</w:t>
            </w:r>
          </w:p>
        </w:tc>
        <w:tc>
          <w:tcPr>
            <w:tcW w:w="641" w:type="dxa"/>
            <w:tcBorders>
              <w:top w:val="single" w:color="auto" w:sz="4" w:space="0"/>
              <w:left w:val="single" w:color="auto" w:sz="4" w:space="0"/>
              <w:bottom w:val="single" w:color="auto" w:sz="4" w:space="0"/>
              <w:right w:val="single" w:color="auto" w:sz="4" w:space="0"/>
            </w:tcBorders>
            <w:noWrap w:val="0"/>
            <w:vAlign w:val="center"/>
          </w:tcPr>
          <w:p w14:paraId="598DAA7E">
            <w:pPr>
              <w:widowControl/>
              <w:adjustRightInd w:val="0"/>
              <w:snapToGrid w:val="0"/>
              <w:spacing w:line="200" w:lineRule="exact"/>
              <w:rPr>
                <w:rFonts w:hint="eastAsia" w:eastAsia="仿宋_GB2312" w:cs="仿宋_GB2312"/>
                <w:snapToGrid w:val="0"/>
                <w:color w:val="auto"/>
                <w:kern w:val="2"/>
                <w:sz w:val="20"/>
                <w:szCs w:val="20"/>
                <w:lang w:val="en-US" w:eastAsia="zh-CN" w:bidi="ar-SA"/>
              </w:rPr>
            </w:pPr>
            <w:r>
              <w:rPr>
                <w:rFonts w:hint="eastAsia" w:eastAsia="仿宋_GB2312" w:cs="仿宋_GB2312"/>
                <w:snapToGrid w:val="0"/>
                <w:color w:val="auto"/>
                <w:sz w:val="20"/>
                <w:szCs w:val="20"/>
              </w:rPr>
              <w:t>电影放映单位设立审</w:t>
            </w:r>
            <w:r>
              <w:rPr>
                <w:rFonts w:hint="eastAsia" w:eastAsia="仿宋_GB2312" w:cs="仿宋_GB2312"/>
                <w:snapToGrid w:val="0"/>
                <w:color w:val="auto"/>
                <w:sz w:val="20"/>
                <w:szCs w:val="20"/>
                <w:lang w:val="en-US" w:eastAsia="zh-CN"/>
              </w:rPr>
              <w:t xml:space="preserve"> </w:t>
            </w:r>
            <w:r>
              <w:rPr>
                <w:rFonts w:hint="eastAsia" w:eastAsia="仿宋_GB2312" w:cs="仿宋_GB2312"/>
                <w:snapToGrid w:val="0"/>
                <w:color w:val="auto"/>
                <w:sz w:val="20"/>
                <w:szCs w:val="20"/>
              </w:rPr>
              <w:t>批</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48B6E5CC">
            <w:pPr>
              <w:adjustRightInd w:val="0"/>
              <w:snapToGrid w:val="0"/>
              <w:spacing w:line="300" w:lineRule="exact"/>
              <w:jc w:val="center"/>
              <w:rPr>
                <w:rFonts w:hint="eastAsia" w:ascii="仿宋_GB2312" w:hAnsi="仿宋_GB2312" w:eastAsia="仿宋_GB2312" w:cs="仿宋_GB2312"/>
                <w:color w:val="auto"/>
                <w:kern w:val="0"/>
                <w:sz w:val="20"/>
                <w:szCs w:val="20"/>
              </w:rPr>
            </w:pPr>
          </w:p>
        </w:tc>
        <w:tc>
          <w:tcPr>
            <w:tcW w:w="628" w:type="dxa"/>
            <w:tcBorders>
              <w:top w:val="single" w:color="auto" w:sz="4" w:space="0"/>
              <w:left w:val="single" w:color="auto" w:sz="4" w:space="0"/>
              <w:bottom w:val="single" w:color="auto" w:sz="4" w:space="0"/>
              <w:right w:val="single" w:color="auto" w:sz="4" w:space="0"/>
            </w:tcBorders>
            <w:noWrap w:val="0"/>
            <w:vAlign w:val="center"/>
          </w:tcPr>
          <w:p w14:paraId="30DAC159">
            <w:pPr>
              <w:adjustRightInd w:val="0"/>
              <w:snapToGrid w:val="0"/>
              <w:spacing w:line="300" w:lineRule="exact"/>
              <w:jc w:val="center"/>
              <w:rPr>
                <w:rFonts w:hint="eastAsia" w:ascii="仿宋_GB2312" w:hAnsi="仿宋_GB2312" w:eastAsia="仿宋_GB2312" w:cs="仿宋_GB2312"/>
                <w:color w:val="auto"/>
                <w:kern w:val="0"/>
                <w:sz w:val="20"/>
                <w:szCs w:val="24"/>
                <w:lang w:val="en-US" w:eastAsia="zh-CN" w:bidi="ar-SA"/>
              </w:rPr>
            </w:pPr>
            <w:r>
              <w:rPr>
                <w:rFonts w:hint="eastAsia" w:ascii="仿宋_GB2312" w:hAnsi="仿宋_GB2312" w:eastAsia="仿宋_GB2312" w:cs="仿宋_GB2312"/>
                <w:color w:val="auto"/>
                <w:kern w:val="0"/>
                <w:sz w:val="20"/>
                <w:lang w:eastAsia="zh-CN"/>
              </w:rPr>
              <w:t>城中区新闻出版局</w:t>
            </w:r>
          </w:p>
        </w:tc>
        <w:tc>
          <w:tcPr>
            <w:tcW w:w="1122" w:type="dxa"/>
            <w:tcBorders>
              <w:top w:val="single" w:color="auto" w:sz="4" w:space="0"/>
              <w:left w:val="single" w:color="auto" w:sz="4" w:space="0"/>
              <w:bottom w:val="single" w:color="auto" w:sz="4" w:space="0"/>
              <w:right w:val="single" w:color="auto" w:sz="4" w:space="0"/>
            </w:tcBorders>
            <w:noWrap w:val="0"/>
            <w:vAlign w:val="center"/>
          </w:tcPr>
          <w:p w14:paraId="732AA06E">
            <w:pPr>
              <w:adjustRightInd w:val="0"/>
              <w:snapToGrid w:val="0"/>
              <w:spacing w:line="300" w:lineRule="exact"/>
              <w:jc w:val="center"/>
              <w:rPr>
                <w:rFonts w:hint="eastAsia" w:ascii="仿宋_GB2312" w:hAnsi="仿宋_GB2312" w:eastAsia="仿宋_GB2312" w:cs="仿宋_GB2312"/>
                <w:color w:val="auto"/>
                <w:kern w:val="0"/>
                <w:sz w:val="20"/>
                <w:szCs w:val="24"/>
                <w:lang w:val="en-US" w:eastAsia="zh-CN" w:bidi="ar-SA"/>
              </w:rPr>
            </w:pPr>
            <w:r>
              <w:rPr>
                <w:rFonts w:hint="eastAsia" w:ascii="仿宋_GB2312" w:hAnsi="仿宋_GB2312" w:eastAsia="仿宋_GB2312" w:cs="仿宋_GB2312"/>
                <w:color w:val="auto"/>
                <w:kern w:val="0"/>
                <w:sz w:val="20"/>
                <w:lang w:eastAsia="zh-CN"/>
              </w:rPr>
              <w:t>城中区新闻出版局</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9022E92">
            <w:pPr>
              <w:widowControl/>
              <w:adjustRightInd w:val="0"/>
              <w:snapToGrid w:val="0"/>
              <w:spacing w:line="18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1.【法律】《中华人民共和国电影产业促进法》第二十四条：企业、个体工商户具有与所从事的电影放映活动相适应的人员、场所、技术、和设备等条件的，经所在地县级人民政府电影主管部门批准，可以从事电影院等固定放映场所电影放映活动。</w:t>
            </w:r>
          </w:p>
          <w:p w14:paraId="319D3B6B">
            <w:pPr>
              <w:widowControl/>
              <w:adjustRightInd w:val="0"/>
              <w:snapToGrid w:val="0"/>
              <w:spacing w:line="18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第二十五条：依照本法规定负责电影发行、放映活动审批的电影主管部门，应当自受理申请之日起三十日内，作出批准或者不批准的决定。对符合条件的，予以批准，颁发电影发行经营许可证或者电影放映经营许可证，并予以公布；对不符合条件的，不予批准，书面通知申请人并说明理由。</w:t>
            </w:r>
          </w:p>
          <w:p w14:paraId="10D82A9C">
            <w:pPr>
              <w:widowControl/>
              <w:adjustRightInd w:val="0"/>
              <w:snapToGrid w:val="0"/>
              <w:spacing w:line="18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2.【行政法规】《电影管理条例》（2001年国务院令第342号）第三十八条：设立电影放映单位，应当向所在地县或者设区的市人民政府电影行政部门提出申请。所在地县或者设区的市人民政府电影行政部门应当自收到申请书之日起60日内作出批准或者不批准的决定，并通知申请人。批准的，发给《电影放映经营许可证》，申请人持《电影放映经营许可证》到所在地工商行政管理部门登记，依法领取营业执照；不批准的，应当说明理由。</w:t>
            </w:r>
          </w:p>
          <w:p w14:paraId="798CF0E2">
            <w:pPr>
              <w:widowControl/>
              <w:adjustRightInd w:val="0"/>
              <w:snapToGrid w:val="0"/>
              <w:spacing w:line="18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第三十九条：电影发行单位、电影放映单位变更业务范围，或者兼并其他电影发行单位、电影放映单位，或者因合并、分立而设立新的电影发行单位、电影放映单位的，应当依照本条例第三十七条或者第三十八条的规定办理审批手续，并到工商行政管理部门办理相应的登记手续。</w:t>
            </w:r>
          </w:p>
          <w:p w14:paraId="5CEBD88B">
            <w:pPr>
              <w:widowControl/>
              <w:adjustRightInd w:val="0"/>
              <w:snapToGrid w:val="0"/>
              <w:spacing w:line="180" w:lineRule="exact"/>
              <w:ind w:firstLine="400" w:firstLineChars="200"/>
              <w:rPr>
                <w:rFonts w:hint="eastAsia" w:eastAsia="仿宋_GB2312" w:cs="仿宋_GB2312"/>
                <w:snapToGrid w:val="0"/>
                <w:color w:val="auto"/>
                <w:kern w:val="2"/>
                <w:sz w:val="20"/>
                <w:szCs w:val="20"/>
                <w:lang w:val="en" w:eastAsia="zh-CN" w:bidi="ar-SA"/>
              </w:rPr>
            </w:pPr>
            <w:r>
              <w:rPr>
                <w:rFonts w:eastAsia="仿宋_GB2312" w:cs="仿宋_GB2312"/>
                <w:snapToGrid w:val="0"/>
                <w:color w:val="auto"/>
                <w:sz w:val="20"/>
                <w:szCs w:val="20"/>
                <w:lang w:val="en"/>
              </w:rPr>
              <w:t>3</w:t>
            </w:r>
            <w:r>
              <w:rPr>
                <w:rFonts w:hint="eastAsia" w:eastAsia="仿宋_GB2312" w:cs="仿宋_GB2312"/>
                <w:snapToGrid w:val="0"/>
                <w:color w:val="auto"/>
                <w:sz w:val="20"/>
                <w:szCs w:val="20"/>
                <w:lang w:val="en"/>
              </w:rPr>
              <w:t>.《</w:t>
            </w:r>
            <w:r>
              <w:rPr>
                <w:rFonts w:eastAsia="仿宋_GB2312" w:cs="仿宋_GB2312"/>
                <w:snapToGrid w:val="0"/>
                <w:color w:val="auto"/>
                <w:sz w:val="20"/>
                <w:szCs w:val="20"/>
                <w:lang w:val="en"/>
              </w:rPr>
              <w:t>国务院关于第六批取消和调整行政审批项目的决定</w:t>
            </w:r>
            <w:r>
              <w:rPr>
                <w:rFonts w:hint="eastAsia" w:eastAsia="仿宋_GB2312" w:cs="仿宋_GB2312"/>
                <w:snapToGrid w:val="0"/>
                <w:color w:val="auto"/>
                <w:sz w:val="20"/>
                <w:szCs w:val="20"/>
                <w:lang w:val="en"/>
              </w:rPr>
              <w:t>》（</w:t>
            </w:r>
            <w:r>
              <w:rPr>
                <w:rFonts w:eastAsia="仿宋_GB2312" w:cs="仿宋_GB2312"/>
                <w:snapToGrid w:val="0"/>
                <w:color w:val="auto"/>
                <w:sz w:val="20"/>
                <w:szCs w:val="20"/>
                <w:lang w:val="en"/>
              </w:rPr>
              <w:t>国发〔2012〕52号</w:t>
            </w:r>
            <w:r>
              <w:rPr>
                <w:rFonts w:hint="eastAsia" w:eastAsia="仿宋_GB2312" w:cs="仿宋_GB2312"/>
                <w:snapToGrid w:val="0"/>
                <w:color w:val="auto"/>
                <w:sz w:val="20"/>
                <w:szCs w:val="20"/>
                <w:lang w:val="en"/>
              </w:rPr>
              <w:t>）中明确将“电影放映单位设立、变更业务范围或者兼并、合并、分立审批”下放到“县级人民政府广播电影电视行政部门”。</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8E639D9">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1.受理责任：公示应当提交的材料；一次性告知补正材料；依法受理或不予受理（不予受理应当告知理由）。</w:t>
            </w:r>
          </w:p>
          <w:p w14:paraId="72D12594">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2.审查责任：按照政策规定对书面材料进行审查，提出是否同意审批的初步意见，告知申请人、利害相关人享有听证权利；涉及公共利益的重大许可，向社会公告，并举行听证。</w:t>
            </w:r>
          </w:p>
          <w:p w14:paraId="208B181A">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3.决定责任：作出行政许可或者不予行政许可决定，法定告知（不予许可的应当书面告知理由）。</w:t>
            </w:r>
          </w:p>
          <w:p w14:paraId="08619973">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4.送达责任：准予许可的制发送达审批决定。</w:t>
            </w:r>
          </w:p>
          <w:p w14:paraId="5863206B">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5.事后监管责任：责任部门对审批后的相关事宜实施监督管理</w:t>
            </w:r>
          </w:p>
          <w:p w14:paraId="07D7492C">
            <w:pPr>
              <w:widowControl/>
              <w:adjustRightInd w:val="0"/>
              <w:snapToGrid w:val="0"/>
              <w:spacing w:line="200" w:lineRule="exact"/>
              <w:ind w:firstLine="400" w:firstLineChars="200"/>
              <w:rPr>
                <w:rFonts w:hint="eastAsia" w:eastAsia="仿宋_GB2312" w:cs="仿宋_GB2312"/>
                <w:snapToGrid w:val="0"/>
                <w:color w:val="auto"/>
                <w:kern w:val="2"/>
                <w:sz w:val="20"/>
                <w:szCs w:val="20"/>
                <w:lang w:val="en-US" w:eastAsia="zh-CN" w:bidi="ar-SA"/>
              </w:rPr>
            </w:pPr>
            <w:r>
              <w:rPr>
                <w:rFonts w:hint="eastAsia" w:eastAsia="仿宋_GB2312" w:cs="仿宋_GB2312"/>
                <w:snapToGrid w:val="0"/>
                <w:color w:val="auto"/>
                <w:sz w:val="20"/>
                <w:szCs w:val="20"/>
              </w:rPr>
              <w:t>6.其他法律法规规章文件规定应履行的责任。</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C51F5FB">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1.【法律】《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p>
          <w:p w14:paraId="2E2CC4D0">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2.【法律】《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w:t>
            </w:r>
          </w:p>
          <w:p w14:paraId="2EF1FFD8">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3.【法律】《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14:paraId="6F25B51C">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4.【法律】《中华人民共和国行政许可法》第四十条：行政机关作出准予行政许可的决定，应当予以公开，公众有权查阅。</w:t>
            </w:r>
          </w:p>
          <w:p w14:paraId="0F8B3F69">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第四十四条：行政机关作出准予行政许可的决定，应当自作出决定之日起十日内向申请人颁发、送达行政许可证，或者加贴标签、加盖检验、检测、检疫印章。</w:t>
            </w:r>
          </w:p>
          <w:p w14:paraId="07878DDD">
            <w:pPr>
              <w:widowControl/>
              <w:adjustRightInd w:val="0"/>
              <w:snapToGrid w:val="0"/>
              <w:spacing w:line="200" w:lineRule="exact"/>
              <w:ind w:firstLine="400" w:firstLineChars="200"/>
              <w:rPr>
                <w:rFonts w:hint="eastAsia" w:eastAsia="仿宋_GB2312" w:cs="仿宋_GB2312"/>
                <w:snapToGrid w:val="0"/>
                <w:color w:val="auto"/>
                <w:kern w:val="2"/>
                <w:sz w:val="20"/>
                <w:szCs w:val="20"/>
                <w:lang w:val="en-US" w:eastAsia="zh-CN" w:bidi="ar-SA"/>
              </w:rPr>
            </w:pPr>
            <w:r>
              <w:rPr>
                <w:rFonts w:hint="eastAsia" w:eastAsia="仿宋_GB2312" w:cs="仿宋_GB2312"/>
                <w:snapToGrid w:val="0"/>
                <w:color w:val="auto"/>
                <w:sz w:val="20"/>
                <w:szCs w:val="20"/>
              </w:rPr>
              <w:t>5.【法律】《中华人民共和国行政许可法》第六十一条：行政机关应当建立健全监督制度，通过核查反映被许可人从事行政许可事项活动情况的有关材料，履行监督责任。</w:t>
            </w:r>
          </w:p>
        </w:tc>
        <w:tc>
          <w:tcPr>
            <w:tcW w:w="2685" w:type="dxa"/>
            <w:tcBorders>
              <w:top w:val="single" w:color="auto" w:sz="4" w:space="0"/>
              <w:left w:val="single" w:color="auto" w:sz="4" w:space="0"/>
              <w:bottom w:val="single" w:color="auto" w:sz="4" w:space="0"/>
              <w:right w:val="single" w:color="auto" w:sz="4" w:space="0"/>
            </w:tcBorders>
            <w:noWrap w:val="0"/>
            <w:vAlign w:val="center"/>
          </w:tcPr>
          <w:p w14:paraId="4B34A55D">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因不履行或不正确履行行政职责，有下列情形的，行政机关及相关工作人员应承担相应责任：</w:t>
            </w:r>
          </w:p>
          <w:p w14:paraId="39B50BBA">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1.对符合法定条件的申请不予受理的；</w:t>
            </w:r>
          </w:p>
          <w:p w14:paraId="40D1C6CF">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2.对不符合法定条件的申请人准予行政许可或者超越法定职权作出准予行政许可决定的；</w:t>
            </w:r>
          </w:p>
          <w:p w14:paraId="6A5A04A5">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3.对符合法定条件的申请人不予行政许可或者不在法定期限内作出准予行政许可决定的；</w:t>
            </w:r>
          </w:p>
          <w:p w14:paraId="56DF7FEA">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4.行政机关不依法履行监督职责或者监督不力的；</w:t>
            </w:r>
          </w:p>
          <w:p w14:paraId="64086F1D">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5.实施行政许可过程中，违反法定程序或者未履行法定告知义务的；</w:t>
            </w:r>
          </w:p>
          <w:p w14:paraId="24F0B66A">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6.在行政许可工作中滥用职权、玩忽职守、徇私舞弊的；</w:t>
            </w:r>
          </w:p>
          <w:p w14:paraId="14D6B1F4">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7.在办理行政许可、实施监督检查中索取或者收受他人财物或者谋取其他利益的；</w:t>
            </w:r>
          </w:p>
          <w:p w14:paraId="3C77DEB3">
            <w:pPr>
              <w:widowControl/>
              <w:adjustRightInd w:val="0"/>
              <w:snapToGrid w:val="0"/>
              <w:spacing w:line="200" w:lineRule="exact"/>
              <w:ind w:firstLine="400" w:firstLineChars="200"/>
              <w:rPr>
                <w:rFonts w:ascii="仿宋_GB2312" w:hAnsi="仿宋_GB2312" w:eastAsia="仿宋_GB2312"/>
                <w:snapToGrid w:val="0"/>
                <w:color w:val="auto"/>
                <w:sz w:val="20"/>
              </w:rPr>
            </w:pPr>
            <w:r>
              <w:rPr>
                <w:rFonts w:hint="eastAsia" w:ascii="Times New Roman" w:hAnsi="Times New Roman" w:eastAsia="仿宋_GB2312" w:cs="仿宋_GB2312"/>
                <w:snapToGrid w:val="0"/>
                <w:color w:val="auto"/>
                <w:sz w:val="20"/>
                <w:szCs w:val="20"/>
              </w:rPr>
              <w:t>8.其他违反法律法规规章文件规定的行为。</w:t>
            </w:r>
          </w:p>
        </w:tc>
        <w:tc>
          <w:tcPr>
            <w:tcW w:w="3261" w:type="dxa"/>
            <w:tcBorders>
              <w:top w:val="single" w:color="auto" w:sz="4" w:space="0"/>
              <w:left w:val="single" w:color="auto" w:sz="4" w:space="0"/>
              <w:bottom w:val="single" w:color="auto" w:sz="4" w:space="0"/>
              <w:right w:val="single" w:color="auto" w:sz="4" w:space="0"/>
            </w:tcBorders>
            <w:noWrap w:val="0"/>
            <w:vAlign w:val="center"/>
          </w:tcPr>
          <w:p w14:paraId="586D73FD">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1.【法律】《中华人民共和国行政许可法》（2003年主席令第七号公布）第七十二条：“行政机关及其工作人员违反本法的规定，有下列情形之一的，由其上及行政机关或者监察机关责令改正；情节严重的，对直接负责的主管人员和其他直接责任人员依法给予行政处分；（一）对符合法定条件的行政许可申请不予受理的；。”</w:t>
            </w:r>
          </w:p>
          <w:p w14:paraId="3678D667">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2.【法律】《中华人民共和国行政许可法》（2003年主席令第七号公布）第七十四条：“行政机关实施行政许可，有下列情形之一的，由其上级行政机关或者监察机关责令改正，对直接负责的主管人员和其他直接责任人员依法给予行政处分；构成犯罪的，依法追究刑事责任：（一）对不符合法定条件的申请人准予行政许可或者超越法定职权作出准予行政许可决定的；（二）对符合法定条件的申请人不予行政许可或者不在法定期限内作出准予行政许可决定的；”</w:t>
            </w:r>
          </w:p>
          <w:p w14:paraId="742B9F8F">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3.同2。</w:t>
            </w:r>
          </w:p>
          <w:p w14:paraId="661A25AC">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4.【法律】《中华人民共和国行政许可法》（2003年主席令第七号公布）第七十七条：“行政机关不依法履行监督职责或者监督不力，造成严重后果的，由其上级行政机关或者监察机关责令改正，对直接负责的主管人员其他直接责任人依法给予行政处分；构成犯罪的，依法追究刑事责任。”</w:t>
            </w:r>
          </w:p>
          <w:p w14:paraId="4938E213">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5.【规章】《广西壮族自治区行政过错责任追究办法》（2007年4月17日审议通过，自2007年6月1日起施行）  第八条 实施行政行为，有下列情形之一的，应当追究行政过错责任人的责任：（二）依法应当听证不组织听证；（三）不依法履行告知义务；</w:t>
            </w:r>
          </w:p>
          <w:p w14:paraId="39F78C76">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6.【法规】《行政机关公务员处分条例》（2007年4月4日中华人民共和国国务院令第495号公布）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14:paraId="6FC00781">
            <w:pPr>
              <w:widowControl/>
              <w:adjustRightInd w:val="0"/>
              <w:snapToGrid w:val="0"/>
              <w:spacing w:line="200" w:lineRule="exact"/>
              <w:ind w:firstLine="400" w:firstLineChars="200"/>
              <w:rPr>
                <w:rFonts w:ascii="仿宋_GB2312" w:hAnsi="仿宋_GB2312" w:eastAsia="仿宋_GB2312"/>
                <w:snapToGrid w:val="0"/>
                <w:color w:val="auto"/>
                <w:sz w:val="20"/>
              </w:rPr>
            </w:pPr>
            <w:r>
              <w:rPr>
                <w:rFonts w:hint="eastAsia" w:ascii="Times New Roman" w:hAnsi="Times New Roman" w:eastAsia="仿宋_GB2312" w:cs="仿宋_GB2312"/>
                <w:snapToGrid w:val="0"/>
                <w:color w:val="auto"/>
                <w:sz w:val="20"/>
                <w:szCs w:val="20"/>
              </w:rPr>
              <w:t>7.【法律】《中华人民共和国行政许可法》（2003年主席令第七号公布）第七十三条：“行政机关工作人员办理行政许可、实施监督检查，索取或者收受他人财物或者谋取其他利益，构成犯罪的，依法追究刑事责任；尚不构成犯罪的，依法给予行政处分。”</w:t>
            </w:r>
          </w:p>
        </w:tc>
        <w:tc>
          <w:tcPr>
            <w:tcW w:w="1210" w:type="dxa"/>
            <w:tcBorders>
              <w:top w:val="single" w:color="auto" w:sz="4" w:space="0"/>
              <w:left w:val="single" w:color="auto" w:sz="4" w:space="0"/>
              <w:bottom w:val="single" w:color="auto" w:sz="4" w:space="0"/>
              <w:right w:val="single" w:color="auto" w:sz="4" w:space="0"/>
            </w:tcBorders>
            <w:noWrap w:val="0"/>
            <w:vAlign w:val="center"/>
          </w:tcPr>
          <w:p w14:paraId="4FB6C82B">
            <w:pPr>
              <w:adjustRightInd w:val="0"/>
              <w:snapToGrid w:val="0"/>
              <w:spacing w:line="300" w:lineRule="exact"/>
              <w:jc w:val="center"/>
              <w:rPr>
                <w:rFonts w:hint="eastAsia" w:ascii="仿宋_GB2312" w:hAnsi="仿宋_GB2312" w:eastAsia="仿宋_GB2312" w:cs="仿宋_GB2312"/>
                <w:color w:val="auto"/>
                <w:kern w:val="0"/>
                <w:sz w:val="20"/>
                <w:szCs w:val="20"/>
              </w:rPr>
            </w:pPr>
            <w:r>
              <w:rPr>
                <w:rFonts w:hint="eastAsia" w:ascii="Times New Roman" w:hAnsi="Times New Roman" w:eastAsia="仿宋_GB2312" w:cs="仿宋_GB2312"/>
                <w:snapToGrid w:val="0"/>
                <w:color w:val="auto"/>
                <w:sz w:val="20"/>
                <w:szCs w:val="20"/>
              </w:rPr>
              <w:t>法律法规规章规定的免责情形以及《自治区党委办公厅关于印发&lt;深入推进激励干部新时代新担当新作为工作实施方案&gt;等6个文件的通知》中明确的免责情形。</w:t>
            </w:r>
          </w:p>
        </w:tc>
        <w:tc>
          <w:tcPr>
            <w:tcW w:w="481" w:type="dxa"/>
            <w:tcBorders>
              <w:top w:val="single" w:color="auto" w:sz="4" w:space="0"/>
              <w:left w:val="single" w:color="auto" w:sz="4" w:space="0"/>
              <w:bottom w:val="single" w:color="auto" w:sz="4" w:space="0"/>
              <w:right w:val="single" w:color="auto" w:sz="4" w:space="0"/>
            </w:tcBorders>
            <w:noWrap w:val="0"/>
            <w:vAlign w:val="center"/>
          </w:tcPr>
          <w:p w14:paraId="4DF1BE13">
            <w:pPr>
              <w:adjustRightInd w:val="0"/>
              <w:snapToGrid w:val="0"/>
              <w:spacing w:line="300" w:lineRule="exact"/>
              <w:jc w:val="center"/>
              <w:rPr>
                <w:rFonts w:hint="eastAsia" w:ascii="仿宋_GB2312" w:hAnsi="仿宋_GB2312" w:eastAsia="仿宋_GB2312" w:cs="仿宋_GB2312"/>
                <w:color w:val="auto"/>
                <w:kern w:val="0"/>
                <w:sz w:val="20"/>
                <w:lang w:val="en-US" w:eastAsia="zh-CN"/>
              </w:rPr>
            </w:pPr>
          </w:p>
        </w:tc>
      </w:tr>
      <w:tr w14:paraId="3DE8557F">
        <w:tblPrEx>
          <w:tblCellMar>
            <w:top w:w="28" w:type="dxa"/>
            <w:left w:w="28" w:type="dxa"/>
            <w:bottom w:w="28" w:type="dxa"/>
            <w:right w:w="28" w:type="dxa"/>
          </w:tblCellMar>
        </w:tblPrEx>
        <w:trPr>
          <w:trHeight w:val="11339" w:hRule="atLeast"/>
          <w:jc w:val="center"/>
        </w:trPr>
        <w:tc>
          <w:tcPr>
            <w:tcW w:w="500" w:type="dxa"/>
            <w:tcBorders>
              <w:top w:val="single" w:color="auto" w:sz="4" w:space="0"/>
              <w:left w:val="single" w:color="auto" w:sz="4" w:space="0"/>
              <w:bottom w:val="single" w:color="auto" w:sz="4" w:space="0"/>
              <w:right w:val="single" w:color="auto" w:sz="4" w:space="0"/>
            </w:tcBorders>
            <w:noWrap w:val="0"/>
            <w:vAlign w:val="center"/>
          </w:tcPr>
          <w:p w14:paraId="77C6048E">
            <w:pPr>
              <w:adjustRightInd w:val="0"/>
              <w:snapToGrid w:val="0"/>
              <w:spacing w:line="300" w:lineRule="exact"/>
              <w:jc w:val="center"/>
              <w:rPr>
                <w:rFonts w:hint="eastAsia" w:ascii="仿宋_GB2312" w:hAnsi="仿宋_GB2312" w:eastAsia="仿宋_GB2312" w:cs="仿宋_GB2312"/>
                <w:color w:val="auto"/>
                <w:kern w:val="0"/>
                <w:sz w:val="20"/>
                <w:lang w:val="en-US" w:eastAsia="zh-CN"/>
              </w:rPr>
            </w:pPr>
            <w:r>
              <w:rPr>
                <w:rFonts w:hint="eastAsia" w:ascii="仿宋_GB2312" w:hAnsi="仿宋_GB2312" w:eastAsia="仿宋_GB2312" w:cs="仿宋_GB2312"/>
                <w:color w:val="auto"/>
                <w:kern w:val="0"/>
                <w:sz w:val="20"/>
                <w:lang w:val="en-US" w:eastAsia="zh-CN"/>
              </w:rPr>
              <w:t>2</w:t>
            </w:r>
          </w:p>
        </w:tc>
        <w:tc>
          <w:tcPr>
            <w:tcW w:w="703" w:type="dxa"/>
            <w:tcBorders>
              <w:top w:val="single" w:color="auto" w:sz="4" w:space="0"/>
              <w:left w:val="single" w:color="auto" w:sz="4" w:space="0"/>
              <w:bottom w:val="single" w:color="auto" w:sz="4" w:space="0"/>
              <w:right w:val="single" w:color="auto" w:sz="4" w:space="0"/>
            </w:tcBorders>
            <w:noWrap w:val="0"/>
            <w:vAlign w:val="center"/>
          </w:tcPr>
          <w:p w14:paraId="7D7672E0">
            <w:pPr>
              <w:widowControl/>
              <w:adjustRightInd w:val="0"/>
              <w:snapToGrid w:val="0"/>
              <w:spacing w:line="200" w:lineRule="exact"/>
              <w:jc w:val="center"/>
              <w:rPr>
                <w:rFonts w:hint="eastAsia" w:eastAsia="仿宋_GB2312" w:cs="仿宋_GB2312"/>
                <w:snapToGrid w:val="0"/>
                <w:color w:val="auto"/>
                <w:kern w:val="2"/>
                <w:sz w:val="20"/>
                <w:szCs w:val="20"/>
                <w:lang w:val="en-US" w:eastAsia="zh-CN" w:bidi="ar-SA"/>
              </w:rPr>
            </w:pPr>
            <w:r>
              <w:rPr>
                <w:rFonts w:hint="eastAsia" w:eastAsia="仿宋_GB2312" w:cs="仿宋_GB2312"/>
                <w:snapToGrid w:val="0"/>
                <w:color w:val="auto"/>
                <w:sz w:val="20"/>
                <w:szCs w:val="20"/>
              </w:rPr>
              <w:t>行政许可</w:t>
            </w:r>
          </w:p>
        </w:tc>
        <w:tc>
          <w:tcPr>
            <w:tcW w:w="641" w:type="dxa"/>
            <w:tcBorders>
              <w:top w:val="single" w:color="auto" w:sz="4" w:space="0"/>
              <w:left w:val="single" w:color="auto" w:sz="4" w:space="0"/>
              <w:bottom w:val="single" w:color="auto" w:sz="4" w:space="0"/>
              <w:right w:val="single" w:color="auto" w:sz="4" w:space="0"/>
            </w:tcBorders>
            <w:noWrap w:val="0"/>
            <w:vAlign w:val="center"/>
          </w:tcPr>
          <w:p w14:paraId="490C232C">
            <w:pPr>
              <w:widowControl/>
              <w:adjustRightInd w:val="0"/>
              <w:snapToGrid w:val="0"/>
              <w:spacing w:line="200" w:lineRule="exact"/>
              <w:rPr>
                <w:rFonts w:hint="eastAsia" w:eastAsia="仿宋_GB2312" w:cs="仿宋_GB2312"/>
                <w:snapToGrid w:val="0"/>
                <w:color w:val="auto"/>
                <w:kern w:val="2"/>
                <w:sz w:val="20"/>
                <w:szCs w:val="20"/>
                <w:lang w:val="en-US" w:eastAsia="zh-CN" w:bidi="ar-SA"/>
              </w:rPr>
            </w:pPr>
            <w:r>
              <w:rPr>
                <w:rFonts w:hint="eastAsia" w:eastAsia="仿宋_GB2312" w:cs="仿宋_GB2312"/>
                <w:snapToGrid w:val="0"/>
                <w:color w:val="auto"/>
                <w:sz w:val="20"/>
                <w:szCs w:val="20"/>
              </w:rPr>
              <w:t>出版物零售业务经营许可</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364973C9">
            <w:pPr>
              <w:adjustRightInd w:val="0"/>
              <w:snapToGrid w:val="0"/>
              <w:spacing w:line="300" w:lineRule="exact"/>
              <w:jc w:val="center"/>
              <w:rPr>
                <w:rFonts w:hint="eastAsia" w:ascii="仿宋_GB2312" w:hAnsi="仿宋_GB2312" w:eastAsia="仿宋_GB2312" w:cs="仿宋_GB2312"/>
                <w:color w:val="auto"/>
                <w:kern w:val="0"/>
                <w:sz w:val="20"/>
                <w:szCs w:val="20"/>
              </w:rPr>
            </w:pPr>
          </w:p>
        </w:tc>
        <w:tc>
          <w:tcPr>
            <w:tcW w:w="628" w:type="dxa"/>
            <w:tcBorders>
              <w:top w:val="single" w:color="auto" w:sz="4" w:space="0"/>
              <w:left w:val="single" w:color="auto" w:sz="4" w:space="0"/>
              <w:bottom w:val="single" w:color="auto" w:sz="4" w:space="0"/>
              <w:right w:val="single" w:color="auto" w:sz="4" w:space="0"/>
            </w:tcBorders>
            <w:noWrap w:val="0"/>
            <w:vAlign w:val="center"/>
          </w:tcPr>
          <w:p w14:paraId="4B6091D8">
            <w:pPr>
              <w:adjustRightInd w:val="0"/>
              <w:snapToGrid w:val="0"/>
              <w:spacing w:line="300" w:lineRule="exact"/>
              <w:jc w:val="center"/>
              <w:rPr>
                <w:rFonts w:hint="eastAsia" w:ascii="仿宋_GB2312" w:hAnsi="仿宋_GB2312" w:eastAsia="仿宋_GB2312" w:cs="仿宋_GB2312"/>
                <w:color w:val="auto"/>
                <w:kern w:val="0"/>
                <w:sz w:val="20"/>
                <w:szCs w:val="24"/>
                <w:lang w:val="en-US" w:eastAsia="zh-CN" w:bidi="ar-SA"/>
              </w:rPr>
            </w:pPr>
            <w:r>
              <w:rPr>
                <w:rFonts w:hint="eastAsia" w:ascii="仿宋_GB2312" w:hAnsi="仿宋_GB2312" w:eastAsia="仿宋_GB2312" w:cs="仿宋_GB2312"/>
                <w:color w:val="auto"/>
                <w:kern w:val="0"/>
                <w:sz w:val="20"/>
                <w:lang w:eastAsia="zh-CN"/>
              </w:rPr>
              <w:t>城中区新闻出版局</w:t>
            </w:r>
          </w:p>
        </w:tc>
        <w:tc>
          <w:tcPr>
            <w:tcW w:w="1122" w:type="dxa"/>
            <w:tcBorders>
              <w:top w:val="single" w:color="auto" w:sz="4" w:space="0"/>
              <w:left w:val="single" w:color="auto" w:sz="4" w:space="0"/>
              <w:bottom w:val="single" w:color="auto" w:sz="4" w:space="0"/>
              <w:right w:val="single" w:color="auto" w:sz="4" w:space="0"/>
            </w:tcBorders>
            <w:noWrap w:val="0"/>
            <w:vAlign w:val="center"/>
          </w:tcPr>
          <w:p w14:paraId="5D5C252D">
            <w:pPr>
              <w:adjustRightInd w:val="0"/>
              <w:snapToGrid w:val="0"/>
              <w:spacing w:line="300" w:lineRule="exact"/>
              <w:jc w:val="center"/>
              <w:rPr>
                <w:rFonts w:hint="eastAsia" w:ascii="仿宋_GB2312" w:hAnsi="仿宋_GB2312" w:eastAsia="仿宋_GB2312" w:cs="仿宋_GB2312"/>
                <w:color w:val="auto"/>
                <w:kern w:val="0"/>
                <w:sz w:val="20"/>
                <w:szCs w:val="24"/>
                <w:lang w:val="en-US" w:eastAsia="zh-CN" w:bidi="ar-SA"/>
              </w:rPr>
            </w:pPr>
            <w:r>
              <w:rPr>
                <w:rFonts w:hint="eastAsia" w:ascii="仿宋_GB2312" w:hAnsi="仿宋_GB2312" w:eastAsia="仿宋_GB2312" w:cs="仿宋_GB2312"/>
                <w:color w:val="auto"/>
                <w:kern w:val="0"/>
                <w:sz w:val="20"/>
                <w:lang w:eastAsia="zh-CN"/>
              </w:rPr>
              <w:t>城中区新闻出版局</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2F14218C">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1.【行政法规】《出版管理条例》（2001年国务院令第343号公布，2020年国务院令第732号修订）第三十五条：单位从事出版物批发业务的，须经省、自治区、直辖市人民政府出版行政主管部门审核许可，取得《出版物经营许可证》。单位和个体工商户从事出版物零售业务的，须经县级人民政府出版行政主管部门审核许可，取得《出版物经营许可证》。</w:t>
            </w:r>
          </w:p>
          <w:p w14:paraId="0EEB7E3E">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第三十七条：从事出版物发行业务的单位和个体工商户变更《出版物经营许可证》登记事项，或者兼并、合并、分立的，应当依照本条例第三十五条的规定办理审批手续。</w:t>
            </w:r>
          </w:p>
          <w:p w14:paraId="60832EAF">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2.【部门规章】《出版物市场管理规定》（2016年国家新闻出版广电总局、商务部令第10号）第二条：本规定适用于出版物发行活动及其监督管理。本规定所称出版物，是指图书、报纸、期刊、音像制品、电子出版物。本规定所称发行，包括批发、零售以及出租、展销等活动。批发是指供货商向其他出版物经营者销售出版物。零售是指经营者直接向消费者销售出版物。</w:t>
            </w:r>
          </w:p>
          <w:p w14:paraId="04F90412">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第三条：国家对出版物批发、零售依法实行许可制度。从事出版物批发、零售活动的单位和个人凭出版物经营许可证开展出版物批发、零售活动；未经许可，任何单位和个人不得从事出版物批发、零售活动。</w:t>
            </w:r>
          </w:p>
          <w:p w14:paraId="3C0C9ADA">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第十条：单位、个人申请从事出版物零售业务，须报所在地县级人民政府出版行政主管部门审批。县级人民政府出版行政主管部门应当自受理申请之日起20个工作日内作出批准或者不予批准的决定。批准的，由县级人民政府出版行政主管部门颁发出版物经营许可证，并报上一级出版行政主管部门备案；其中门店营业面积在5000平方米以上的应同时报省级人民政府出版行政主管部门备案。不予批准的，应当向申请单位、个人书面说明理由。</w:t>
            </w:r>
          </w:p>
          <w:p w14:paraId="24AEA2C4">
            <w:pPr>
              <w:widowControl/>
              <w:adjustRightInd w:val="0"/>
              <w:snapToGrid w:val="0"/>
              <w:spacing w:line="200" w:lineRule="exact"/>
              <w:ind w:firstLine="400" w:firstLineChars="200"/>
              <w:rPr>
                <w:rFonts w:hint="eastAsia" w:eastAsia="仿宋_GB2312" w:cs="仿宋_GB2312"/>
                <w:snapToGrid w:val="0"/>
                <w:color w:val="auto"/>
                <w:kern w:val="2"/>
                <w:sz w:val="20"/>
                <w:szCs w:val="20"/>
                <w:lang w:val="en-US" w:eastAsia="zh-CN" w:bidi="ar-SA"/>
              </w:rPr>
            </w:pPr>
            <w:r>
              <w:rPr>
                <w:rFonts w:hint="eastAsia" w:eastAsia="仿宋_GB2312" w:cs="仿宋_GB2312"/>
                <w:snapToGrid w:val="0"/>
                <w:color w:val="auto"/>
                <w:sz w:val="20"/>
                <w:szCs w:val="20"/>
              </w:rPr>
              <w:t>第十九条：从事出版物发行业务的单位、个人变更出版物经营许可证登记事项，或者兼并、合并、分立的，应当依照本规定到原批准的出版行政主管部门办理审批手续。出版行政主管部门自受理申请之日起20个工作日内作出批准或者不予批准的决定。批准的，由出版行政主管部门换发出版物经营许可证；不予批准的，应当向申请单位、个人书面说明理由。</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37E75388">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1.受理责任：公示应当提交的材料；一次性告知补正材料；依法受理或不予受理（不予受理应当告知理由）。</w:t>
            </w:r>
          </w:p>
          <w:p w14:paraId="3039F539">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2.审查责任：按照政策规定对书面材料进行审查，提出是否同意审批的初步意见，告知申请人、利害相关人享有听证权利；涉及公共利益的重大许可，向社会公告，并举行听证。</w:t>
            </w:r>
          </w:p>
          <w:p w14:paraId="29E67C49">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3.决定责任：作出行政许可或者不予行政许可决定，法定告知（不予许可的应当书面告知理由）。</w:t>
            </w:r>
          </w:p>
          <w:p w14:paraId="1359A3A2">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4.送达责任：准予许可的制发送达审批决定。</w:t>
            </w:r>
          </w:p>
          <w:p w14:paraId="245FDBD5">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5.事后监管环节责任：分管领导对审批后的相关事宜实施监督管理。</w:t>
            </w:r>
          </w:p>
          <w:p w14:paraId="0C6B4AEA">
            <w:pPr>
              <w:widowControl/>
              <w:adjustRightInd w:val="0"/>
              <w:snapToGrid w:val="0"/>
              <w:spacing w:line="200" w:lineRule="exact"/>
              <w:ind w:firstLine="400" w:firstLineChars="200"/>
              <w:rPr>
                <w:rFonts w:hint="eastAsia" w:eastAsia="仿宋_GB2312" w:cs="仿宋_GB2312"/>
                <w:snapToGrid w:val="0"/>
                <w:color w:val="auto"/>
                <w:kern w:val="2"/>
                <w:sz w:val="20"/>
                <w:szCs w:val="20"/>
                <w:lang w:val="en-US" w:eastAsia="zh-CN" w:bidi="ar-SA"/>
              </w:rPr>
            </w:pPr>
            <w:r>
              <w:rPr>
                <w:rFonts w:hint="eastAsia" w:eastAsia="仿宋_GB2312" w:cs="仿宋_GB2312"/>
                <w:snapToGrid w:val="0"/>
                <w:color w:val="auto"/>
                <w:sz w:val="20"/>
                <w:szCs w:val="20"/>
              </w:rPr>
              <w:t>6.其他法律法规规章文件规定应履行的责任。</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F66BC4A">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1.【法律】《中华人民共和国行政许可法》第三十条：行政机关应当将法律、法规、规章规定的有关行政许可的事项、依据、条件、数量、程序、期限以及需要提交的全部材料的目录和申请书示范文本等在办公场所公示。申请人要求行政机关对公示内容予以说明、解释的，行政机关应当说明、解释，提供准确、可靠的信息。</w:t>
            </w:r>
          </w:p>
          <w:p w14:paraId="25A18526">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2.【法律】《中华人民共和国行政许可法》第三十四条：行政机关应当对申请人提交的申请材料进行审查。申请人提交的申请材料齐全、符合法定形式，行政机关能够当场作出决定的，应当当场作出书面的行政许可决定。根据法定条件和程序，需要对申请材料的实质内容进行核实的，行政机关应当指派两名以上工作人员进行核查。</w:t>
            </w:r>
          </w:p>
          <w:p w14:paraId="2D4C647A">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3.【法律】《中华人民共和国行政许可法》第三十二条：行政机关对申请人提出的行政许可申请，应当根据下列情况分别作出处理：（一）申请事项依法不需要取得行政许可的，应当即时告知申请人不受理；（二）申请事项依法不属于本行政机关职权范围的，应当即时作出不予受理的决定，并告知申请人向有关行政机关申请；（三）申请材料存在可以当场更正的错误的，应当允许申请人当场更正；（四）申请材料不齐全或者不符合法定形式的，应当当场或者在五日内一次告知申请人需要补正的全部内容，逾期不告知的，自收到申请材料之日起即为受理；（五）申请事项属于本行政机关职权范围，申请材料齐全、符合法定形式，或者申请人按照本行政机关的要求提交全部补正申请材料的，应当受理行政许可申请。</w:t>
            </w:r>
          </w:p>
          <w:p w14:paraId="5AA2C48D">
            <w:pPr>
              <w:widowControl/>
              <w:adjustRightInd w:val="0"/>
              <w:snapToGrid w:val="0"/>
              <w:spacing w:line="200" w:lineRule="exact"/>
              <w:ind w:firstLine="400" w:firstLineChars="200"/>
              <w:rPr>
                <w:rFonts w:hint="eastAsia" w:eastAsia="仿宋_GB2312" w:cs="仿宋_GB2312"/>
                <w:snapToGrid w:val="0"/>
                <w:color w:val="auto"/>
                <w:sz w:val="20"/>
                <w:szCs w:val="20"/>
              </w:rPr>
            </w:pPr>
            <w:r>
              <w:rPr>
                <w:rFonts w:hint="eastAsia" w:eastAsia="仿宋_GB2312" w:cs="仿宋_GB2312"/>
                <w:snapToGrid w:val="0"/>
                <w:color w:val="auto"/>
                <w:sz w:val="20"/>
                <w:szCs w:val="20"/>
              </w:rPr>
              <w:t>4.【法律】《中华人民共和国行政许可法》第四十四条：行政机关作出准予行政许可的决定，应当自作出决定之日起十日内向申请人颁发、送达行政许可证件，或者加贴标签、加盖检验、检测、检疫印章。</w:t>
            </w:r>
          </w:p>
          <w:p w14:paraId="6E1A6F4B">
            <w:pPr>
              <w:widowControl/>
              <w:adjustRightInd w:val="0"/>
              <w:snapToGrid w:val="0"/>
              <w:spacing w:line="200" w:lineRule="exact"/>
              <w:ind w:firstLine="400" w:firstLineChars="200"/>
              <w:rPr>
                <w:rFonts w:hint="eastAsia" w:eastAsia="仿宋_GB2312" w:cs="仿宋_GB2312"/>
                <w:snapToGrid w:val="0"/>
                <w:color w:val="auto"/>
                <w:kern w:val="2"/>
                <w:sz w:val="20"/>
                <w:szCs w:val="20"/>
                <w:lang w:val="en-US" w:eastAsia="zh-CN" w:bidi="ar-SA"/>
              </w:rPr>
            </w:pPr>
            <w:r>
              <w:rPr>
                <w:rFonts w:hint="eastAsia" w:eastAsia="仿宋_GB2312" w:cs="仿宋_GB2312"/>
                <w:snapToGrid w:val="0"/>
                <w:color w:val="auto"/>
                <w:sz w:val="20"/>
                <w:szCs w:val="20"/>
              </w:rPr>
              <w:t>5.【法律】《中华人民共和国行政许可法》第六十一条：行政机关应当建立健全监督制度，通过核查反映被许可人从事行政许可事项活动情况的有关材料，履行监督责任。</w:t>
            </w:r>
          </w:p>
        </w:tc>
        <w:tc>
          <w:tcPr>
            <w:tcW w:w="2685" w:type="dxa"/>
            <w:tcBorders>
              <w:top w:val="single" w:color="auto" w:sz="4" w:space="0"/>
              <w:left w:val="single" w:color="auto" w:sz="4" w:space="0"/>
              <w:bottom w:val="single" w:color="auto" w:sz="4" w:space="0"/>
              <w:right w:val="single" w:color="auto" w:sz="4" w:space="0"/>
            </w:tcBorders>
            <w:noWrap w:val="0"/>
            <w:vAlign w:val="center"/>
          </w:tcPr>
          <w:p w14:paraId="26F47110">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因不履行或不正确履行行政职责，有下列情形的，行政机关及相关工作人员应承担相应责任：</w:t>
            </w:r>
          </w:p>
          <w:p w14:paraId="14BB5961">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1.对符合法定条件的申请不予受理的；</w:t>
            </w:r>
          </w:p>
          <w:p w14:paraId="575E6D00">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2.对不符合法定条件的申请人准予行政许可或者超越法定职权作出准予行政许可决定的；</w:t>
            </w:r>
          </w:p>
          <w:p w14:paraId="777E614E">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3.对符合法定条件的申请人不予行政许可或者不在法定期限内作出准予行政许可决定的；</w:t>
            </w:r>
          </w:p>
          <w:p w14:paraId="25C9EB6B">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4.行政机关不依法履行监督职责或者监督不力的；</w:t>
            </w:r>
          </w:p>
          <w:p w14:paraId="04AC754B">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5.实施行政许可过程中，违反法定程序或者未履行法定告知义务的；</w:t>
            </w:r>
          </w:p>
          <w:p w14:paraId="61624A5F">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6.在行政许可工作中滥用职权、玩忽职守、徇私舞弊的；</w:t>
            </w:r>
          </w:p>
          <w:p w14:paraId="39166200">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7.在办理行政许可、实施监督检查中索取或者收受他人财物或者谋取其他利益的；</w:t>
            </w:r>
          </w:p>
          <w:p w14:paraId="3A883EC0">
            <w:pPr>
              <w:widowControl/>
              <w:adjustRightInd w:val="0"/>
              <w:snapToGrid w:val="0"/>
              <w:spacing w:line="200" w:lineRule="exact"/>
              <w:ind w:firstLine="400" w:firstLineChars="200"/>
              <w:rPr>
                <w:rFonts w:ascii="仿宋_GB2312" w:hAnsi="仿宋_GB2312" w:eastAsia="仿宋_GB2312"/>
                <w:snapToGrid w:val="0"/>
                <w:color w:val="auto"/>
                <w:sz w:val="20"/>
              </w:rPr>
            </w:pPr>
            <w:r>
              <w:rPr>
                <w:rFonts w:hint="eastAsia" w:ascii="Times New Roman" w:hAnsi="Times New Roman" w:eastAsia="仿宋_GB2312" w:cs="仿宋_GB2312"/>
                <w:snapToGrid w:val="0"/>
                <w:color w:val="auto"/>
                <w:sz w:val="20"/>
                <w:szCs w:val="20"/>
              </w:rPr>
              <w:t>8.其他违反法律法规规章文件规定的行为。</w:t>
            </w:r>
          </w:p>
        </w:tc>
        <w:tc>
          <w:tcPr>
            <w:tcW w:w="3261" w:type="dxa"/>
            <w:tcBorders>
              <w:top w:val="single" w:color="auto" w:sz="4" w:space="0"/>
              <w:left w:val="single" w:color="auto" w:sz="4" w:space="0"/>
              <w:bottom w:val="single" w:color="auto" w:sz="4" w:space="0"/>
              <w:right w:val="single" w:color="auto" w:sz="4" w:space="0"/>
            </w:tcBorders>
            <w:noWrap w:val="0"/>
            <w:vAlign w:val="center"/>
          </w:tcPr>
          <w:p w14:paraId="2A49AFE8">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1.【法律】《中华人民共和国行政许可法》（2003年主席令第七号公布）第七十二条：“行政机关及其工作人员违反本法的规定，有下列情形之一的，由其上及行政机关或者监察机关责令改正；情节严重的，对直接负责的主管人员和其他直接责任人员依法给予行政处分；（一）对符合法定条件的行政许可申请不予受理的；。”</w:t>
            </w:r>
          </w:p>
          <w:p w14:paraId="69579A4A">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2.【法律】《中华人民共和国行政许可法》（2003年主席令第七号公布）第七十四条：“行政机关实施行政许可，有下列情形之一的，由其上级行政机关或者监察机关责令改正，对直接负责的主管人员和其他直接责任人员依法给予行政处分；构成犯罪的，依法追究刑事责任：（一）对不符合法定条件的申请人准予行政许可或者超越法定职权作出准予行政许可决定的；（二）对符合法定条件的申请人不予行政许可或者不在法定期限内作出准予行政许可决定的；”</w:t>
            </w:r>
          </w:p>
          <w:p w14:paraId="42C45E83">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3.同2。</w:t>
            </w:r>
          </w:p>
          <w:p w14:paraId="1DB158BD">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4.【法律】《中华人民共和国行政许可法》（2003年主席令第七号公布）第七十七条：“行政机关不依法履行监督职责或者监督不力，造成严重后果的，由其上级行政机关或者监察机关责令改正，对直接负责的主管人员其他直接责任人依法给予行政处分；构成犯罪的，依法追究刑事责任。”</w:t>
            </w:r>
          </w:p>
          <w:p w14:paraId="1D3284A7">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5.【规章】《广西壮族自治区行政过错责任追究办法》（2007年4月17日审议通过，自2007年6月1日起施行）  第八条 实施行政行为，有下列情形之一的，应当追究行政过错责任人的责任：（二）依法应当听证不组织听证；（三）不依法履行告知义务；</w:t>
            </w:r>
          </w:p>
          <w:p w14:paraId="3DBF5A90">
            <w:pPr>
              <w:widowControl/>
              <w:adjustRightInd w:val="0"/>
              <w:snapToGrid w:val="0"/>
              <w:spacing w:line="200" w:lineRule="exact"/>
              <w:ind w:firstLine="400" w:firstLineChars="200"/>
              <w:rPr>
                <w:rFonts w:hint="eastAsia" w:ascii="Times New Roman" w:hAnsi="Times New Roman" w:eastAsia="仿宋_GB2312" w:cs="仿宋_GB2312"/>
                <w:snapToGrid w:val="0"/>
                <w:color w:val="auto"/>
                <w:sz w:val="20"/>
                <w:szCs w:val="20"/>
              </w:rPr>
            </w:pPr>
            <w:r>
              <w:rPr>
                <w:rFonts w:hint="eastAsia" w:ascii="Times New Roman" w:hAnsi="Times New Roman" w:eastAsia="仿宋_GB2312" w:cs="仿宋_GB2312"/>
                <w:snapToGrid w:val="0"/>
                <w:color w:val="auto"/>
                <w:sz w:val="20"/>
                <w:szCs w:val="20"/>
              </w:rPr>
              <w:t>6.【法规】《行政机关公务员处分条例》（2007年4月4日中华人民共和国国务院令第495号公布）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p>
          <w:p w14:paraId="5B24CC1E">
            <w:pPr>
              <w:widowControl/>
              <w:adjustRightInd w:val="0"/>
              <w:snapToGrid w:val="0"/>
              <w:spacing w:line="200" w:lineRule="exact"/>
              <w:ind w:firstLine="400" w:firstLineChars="200"/>
              <w:rPr>
                <w:rFonts w:ascii="仿宋_GB2312" w:hAnsi="仿宋_GB2312" w:eastAsia="仿宋_GB2312"/>
                <w:snapToGrid w:val="0"/>
                <w:color w:val="auto"/>
                <w:sz w:val="20"/>
              </w:rPr>
            </w:pPr>
            <w:r>
              <w:rPr>
                <w:rFonts w:hint="eastAsia" w:ascii="Times New Roman" w:hAnsi="Times New Roman" w:eastAsia="仿宋_GB2312" w:cs="仿宋_GB2312"/>
                <w:snapToGrid w:val="0"/>
                <w:color w:val="auto"/>
                <w:sz w:val="20"/>
                <w:szCs w:val="20"/>
              </w:rPr>
              <w:t>7.【法律】《中华人民共和国行政许可法》（2003年主席令第七号公布）第七十三条：“行政机关工作人员办理行政许可、实施监督检查，索取或者收受他人财物或者谋取其他利益，构成犯罪的，依法追究刑事责任；尚不构成犯罪的，依法给予行政处分。”</w:t>
            </w:r>
          </w:p>
        </w:tc>
        <w:tc>
          <w:tcPr>
            <w:tcW w:w="1210" w:type="dxa"/>
            <w:tcBorders>
              <w:top w:val="single" w:color="auto" w:sz="4" w:space="0"/>
              <w:left w:val="single" w:color="auto" w:sz="4" w:space="0"/>
              <w:bottom w:val="single" w:color="auto" w:sz="4" w:space="0"/>
              <w:right w:val="single" w:color="auto" w:sz="4" w:space="0"/>
            </w:tcBorders>
            <w:noWrap w:val="0"/>
            <w:vAlign w:val="center"/>
          </w:tcPr>
          <w:p w14:paraId="2293E892">
            <w:pPr>
              <w:adjustRightInd w:val="0"/>
              <w:snapToGrid w:val="0"/>
              <w:spacing w:line="300" w:lineRule="exact"/>
              <w:jc w:val="center"/>
              <w:rPr>
                <w:rFonts w:hint="eastAsia" w:ascii="仿宋_GB2312" w:hAnsi="仿宋_GB2312" w:eastAsia="仿宋_GB2312" w:cs="仿宋_GB2312"/>
                <w:color w:val="auto"/>
                <w:kern w:val="0"/>
                <w:sz w:val="20"/>
                <w:szCs w:val="20"/>
              </w:rPr>
            </w:pPr>
            <w:r>
              <w:rPr>
                <w:rFonts w:hint="eastAsia" w:ascii="Times New Roman" w:hAnsi="Times New Roman" w:eastAsia="仿宋_GB2312" w:cs="仿宋_GB2312"/>
                <w:snapToGrid w:val="0"/>
                <w:color w:val="auto"/>
                <w:sz w:val="20"/>
                <w:szCs w:val="20"/>
              </w:rPr>
              <w:t>法律法规规章规定的免责情形以及《自治区党委办公厅关于印发&lt;深入推进激励干部新时代新担当新作为工作实施方案&gt;等6个文件的通知》中明确的免责情形。</w:t>
            </w:r>
          </w:p>
        </w:tc>
        <w:tc>
          <w:tcPr>
            <w:tcW w:w="481" w:type="dxa"/>
            <w:tcBorders>
              <w:top w:val="single" w:color="auto" w:sz="4" w:space="0"/>
              <w:left w:val="single" w:color="auto" w:sz="4" w:space="0"/>
              <w:bottom w:val="single" w:color="auto" w:sz="4" w:space="0"/>
              <w:right w:val="single" w:color="auto" w:sz="4" w:space="0"/>
            </w:tcBorders>
            <w:noWrap w:val="0"/>
            <w:vAlign w:val="center"/>
          </w:tcPr>
          <w:p w14:paraId="739BFBC8">
            <w:pPr>
              <w:adjustRightInd w:val="0"/>
              <w:snapToGrid w:val="0"/>
              <w:spacing w:line="300" w:lineRule="exact"/>
              <w:jc w:val="center"/>
              <w:rPr>
                <w:rFonts w:hint="eastAsia" w:ascii="仿宋_GB2312" w:hAnsi="仿宋_GB2312" w:eastAsia="仿宋_GB2312" w:cs="仿宋_GB2312"/>
                <w:color w:val="auto"/>
                <w:kern w:val="0"/>
                <w:sz w:val="20"/>
                <w:lang w:val="en-US" w:eastAsia="zh-CN"/>
              </w:rPr>
            </w:pPr>
          </w:p>
        </w:tc>
      </w:tr>
      <w:tr w14:paraId="376FA7C1">
        <w:tblPrEx>
          <w:tblCellMar>
            <w:top w:w="28" w:type="dxa"/>
            <w:left w:w="28" w:type="dxa"/>
            <w:bottom w:w="28" w:type="dxa"/>
            <w:right w:w="28" w:type="dxa"/>
          </w:tblCellMar>
        </w:tblPrEx>
        <w:trPr>
          <w:trHeight w:val="11339" w:hRule="atLeast"/>
          <w:jc w:val="center"/>
        </w:trPr>
        <w:tc>
          <w:tcPr>
            <w:tcW w:w="500" w:type="dxa"/>
            <w:tcBorders>
              <w:top w:val="single" w:color="auto" w:sz="4" w:space="0"/>
              <w:left w:val="single" w:color="auto" w:sz="4" w:space="0"/>
              <w:bottom w:val="single" w:color="auto" w:sz="4" w:space="0"/>
              <w:right w:val="single" w:color="auto" w:sz="4" w:space="0"/>
            </w:tcBorders>
            <w:noWrap w:val="0"/>
            <w:vAlign w:val="center"/>
          </w:tcPr>
          <w:p w14:paraId="32917BA7">
            <w:pPr>
              <w:adjustRightInd w:val="0"/>
              <w:snapToGrid w:val="0"/>
              <w:spacing w:line="300" w:lineRule="exact"/>
              <w:jc w:val="center"/>
              <w:rPr>
                <w:rFonts w:hint="eastAsia" w:ascii="仿宋_GB2312" w:hAnsi="仿宋_GB2312" w:eastAsia="仿宋_GB2312" w:cs="仿宋_GB2312"/>
                <w:color w:val="auto"/>
                <w:kern w:val="0"/>
                <w:sz w:val="20"/>
                <w:lang w:val="en" w:eastAsia="zh-CN"/>
              </w:rPr>
            </w:pPr>
            <w:r>
              <w:rPr>
                <w:rFonts w:hint="eastAsia" w:ascii="仿宋_GB2312" w:hAnsi="仿宋_GB2312" w:eastAsia="仿宋_GB2312" w:cs="仿宋_GB2312"/>
                <w:color w:val="auto"/>
                <w:kern w:val="0"/>
                <w:sz w:val="20"/>
                <w:lang w:val="en-US" w:eastAsia="zh-CN"/>
              </w:rPr>
              <w:t>3</w:t>
            </w:r>
          </w:p>
        </w:tc>
        <w:tc>
          <w:tcPr>
            <w:tcW w:w="703" w:type="dxa"/>
            <w:tcBorders>
              <w:top w:val="single" w:color="auto" w:sz="4" w:space="0"/>
              <w:left w:val="single" w:color="auto" w:sz="4" w:space="0"/>
              <w:bottom w:val="single" w:color="auto" w:sz="4" w:space="0"/>
              <w:right w:val="single" w:color="auto" w:sz="4" w:space="0"/>
            </w:tcBorders>
            <w:noWrap w:val="0"/>
            <w:vAlign w:val="center"/>
          </w:tcPr>
          <w:p w14:paraId="15056F04">
            <w:pPr>
              <w:adjustRightInd w:val="0"/>
              <w:snapToGrid w:val="0"/>
              <w:spacing w:line="300" w:lineRule="exact"/>
              <w:jc w:val="center"/>
              <w:rPr>
                <w:rFonts w:hint="eastAsia" w:ascii="仿宋_GB2312" w:hAnsi="仿宋_GB2312" w:eastAsia="仿宋_GB2312" w:cs="仿宋_GB2312"/>
                <w:color w:val="auto"/>
                <w:kern w:val="0"/>
                <w:sz w:val="20"/>
              </w:rPr>
            </w:pPr>
            <w:r>
              <w:rPr>
                <w:rFonts w:hint="eastAsia" w:ascii="仿宋_GB2312" w:hAnsi="仿宋_GB2312" w:eastAsia="仿宋_GB2312" w:cs="仿宋_GB2312"/>
                <w:color w:val="auto"/>
                <w:kern w:val="0"/>
                <w:sz w:val="20"/>
              </w:rPr>
              <w:t>行政检查</w:t>
            </w:r>
          </w:p>
        </w:tc>
        <w:tc>
          <w:tcPr>
            <w:tcW w:w="641" w:type="dxa"/>
            <w:tcBorders>
              <w:top w:val="single" w:color="auto" w:sz="4" w:space="0"/>
              <w:left w:val="single" w:color="auto" w:sz="4" w:space="0"/>
              <w:bottom w:val="single" w:color="auto" w:sz="4" w:space="0"/>
              <w:right w:val="single" w:color="auto" w:sz="4" w:space="0"/>
            </w:tcBorders>
            <w:noWrap w:val="0"/>
            <w:vAlign w:val="center"/>
          </w:tcPr>
          <w:p w14:paraId="37059E91">
            <w:pPr>
              <w:adjustRightInd w:val="0"/>
              <w:snapToGrid w:val="0"/>
              <w:spacing w:line="300" w:lineRule="exact"/>
              <w:jc w:val="center"/>
              <w:rPr>
                <w:rFonts w:hint="eastAsia" w:ascii="仿宋_GB2312" w:hAnsi="仿宋_GB2312" w:eastAsia="仿宋_GB2312" w:cs="仿宋_GB2312"/>
                <w:color w:val="auto"/>
                <w:kern w:val="0"/>
                <w:sz w:val="20"/>
              </w:rPr>
            </w:pPr>
            <w:r>
              <w:rPr>
                <w:rFonts w:hint="eastAsia" w:ascii="仿宋_GB2312" w:hAnsi="仿宋_GB2312" w:eastAsia="仿宋_GB2312" w:cs="仿宋_GB2312"/>
                <w:color w:val="auto"/>
                <w:kern w:val="0"/>
                <w:sz w:val="20"/>
              </w:rPr>
              <w:t>对电影活动的监督检查</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39B58949">
            <w:pPr>
              <w:adjustRightInd w:val="0"/>
              <w:snapToGrid w:val="0"/>
              <w:spacing w:line="300" w:lineRule="exact"/>
              <w:jc w:val="center"/>
              <w:rPr>
                <w:rFonts w:hint="eastAsia" w:ascii="仿宋_GB2312" w:hAnsi="仿宋_GB2312" w:eastAsia="仿宋_GB2312" w:cs="仿宋_GB2312"/>
                <w:color w:val="auto"/>
                <w:kern w:val="0"/>
                <w:sz w:val="20"/>
                <w:szCs w:val="20"/>
              </w:rPr>
            </w:pPr>
          </w:p>
        </w:tc>
        <w:tc>
          <w:tcPr>
            <w:tcW w:w="628" w:type="dxa"/>
            <w:tcBorders>
              <w:top w:val="single" w:color="auto" w:sz="4" w:space="0"/>
              <w:left w:val="single" w:color="auto" w:sz="4" w:space="0"/>
              <w:bottom w:val="single" w:color="auto" w:sz="4" w:space="0"/>
              <w:right w:val="single" w:color="auto" w:sz="4" w:space="0"/>
            </w:tcBorders>
            <w:noWrap w:val="0"/>
            <w:vAlign w:val="center"/>
          </w:tcPr>
          <w:p w14:paraId="7CA86209">
            <w:pPr>
              <w:adjustRightInd w:val="0"/>
              <w:snapToGrid w:val="0"/>
              <w:spacing w:line="300" w:lineRule="exact"/>
              <w:jc w:val="center"/>
              <w:rPr>
                <w:rFonts w:hint="eastAsia" w:ascii="仿宋_GB2312" w:hAnsi="仿宋_GB2312" w:eastAsia="仿宋_GB2312" w:cs="仿宋_GB2312"/>
                <w:color w:val="auto"/>
                <w:kern w:val="0"/>
                <w:sz w:val="20"/>
                <w:lang w:eastAsia="zh-CN"/>
              </w:rPr>
            </w:pPr>
            <w:r>
              <w:rPr>
                <w:rFonts w:hint="eastAsia" w:ascii="仿宋_GB2312" w:hAnsi="仿宋_GB2312" w:eastAsia="仿宋_GB2312" w:cs="仿宋_GB2312"/>
                <w:color w:val="auto"/>
                <w:kern w:val="0"/>
                <w:sz w:val="20"/>
                <w:lang w:eastAsia="zh-CN"/>
              </w:rPr>
              <w:t>城中区新闻出版局</w:t>
            </w:r>
          </w:p>
        </w:tc>
        <w:tc>
          <w:tcPr>
            <w:tcW w:w="1122" w:type="dxa"/>
            <w:tcBorders>
              <w:top w:val="single" w:color="auto" w:sz="4" w:space="0"/>
              <w:left w:val="single" w:color="auto" w:sz="4" w:space="0"/>
              <w:bottom w:val="single" w:color="auto" w:sz="4" w:space="0"/>
              <w:right w:val="single" w:color="auto" w:sz="4" w:space="0"/>
            </w:tcBorders>
            <w:noWrap w:val="0"/>
            <w:vAlign w:val="center"/>
          </w:tcPr>
          <w:p w14:paraId="02256781">
            <w:pPr>
              <w:adjustRightInd w:val="0"/>
              <w:snapToGrid w:val="0"/>
              <w:spacing w:line="300" w:lineRule="exact"/>
              <w:jc w:val="center"/>
              <w:rPr>
                <w:rFonts w:hint="eastAsia" w:ascii="仿宋_GB2312" w:hAnsi="仿宋_GB2312" w:eastAsia="仿宋_GB2312" w:cs="仿宋_GB2312"/>
                <w:color w:val="auto"/>
                <w:kern w:val="0"/>
                <w:sz w:val="20"/>
                <w:lang w:val="en-US" w:eastAsia="zh-CN"/>
              </w:rPr>
            </w:pPr>
            <w:r>
              <w:rPr>
                <w:rFonts w:hint="eastAsia" w:ascii="仿宋_GB2312" w:hAnsi="仿宋_GB2312" w:eastAsia="仿宋_GB2312" w:cs="仿宋_GB2312"/>
                <w:color w:val="auto"/>
                <w:kern w:val="0"/>
                <w:sz w:val="20"/>
                <w:lang w:eastAsia="zh-CN"/>
              </w:rPr>
              <w:t>城中区新闻出版局</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60D35E3">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1.【法律】《中华人民共和国电影产业促进法》第八条：国务院电影主管部门负责全国的电影工作；县级以上地方人民政府电影主管部门负责本行政区域内的电影工作。县级以上人民政府其他有关部门在各自职责范围内，负责有关的电影工作。第四十六条：县级以上人民政府电影主管部门应当加强对电影活动的日常监督管理，受理对违反本法规定的行为的投诉、举报，并及时核实、处理、答复；将从事电影活动的单位和个人违反本法规定受到行政处罚的情形记入信用档案，并向社会公布。</w:t>
            </w:r>
          </w:p>
          <w:p w14:paraId="37144A54">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2.【行政法规】《电影管理条例》（2001年国务院令第342号）第四条：县级以上地方人民政府管理电影的行政部门（以下简称电影行政部门），依照本条例的规定负责本行政区域内的电影管理工作。</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B8E2BC8">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1.告知责任：对违法事实、处理依据、处理意见告知，听取当事人陈述申辩。</w:t>
            </w:r>
          </w:p>
          <w:p w14:paraId="2947BF8F">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2.检查责任：检查应按有关程序进行，指定专人负责，及时组织调查取证，与当事人有直接利害关系的应当回避。检查人员不得少于两人，调查时应出示执法证件，允许当事人辩解陈述。检查人员应保守有关秘密。</w:t>
            </w:r>
          </w:p>
          <w:p w14:paraId="4CB7978D">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3.处理责任：对违法事实、证据资料、调查程序、法律适用、当事人陈述理由等进行审查，提出初步处理意见。</w:t>
            </w:r>
          </w:p>
          <w:p w14:paraId="0C9F7E90">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4.监督责任：电影部门进行事中事后监管。</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E2D98F1">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1.【部门规章】《文化市场综合行政执法管理办法》（2011年文化部令第52号）第二十二条：在调查或者执法检查时，执法人员不得少于2名，并应当向当事人或者有关人员出示执法证件。当事人及有关人员应当如实回答询问，并协助调查或者检查。执法人员应当制作调查询问或者现场检查笔录，经当事人或者有关人员核对无误后，由当事人或者有关人员签名或者盖章。当事人或者有关人员拒绝的，由2名以上执法人员在笔录上注明情况并签名。执法人员与当事人有直接利害关系的，应当回避。</w:t>
            </w:r>
          </w:p>
          <w:p w14:paraId="561FF60B">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2.【部门规章】《文化市场综合行政执法管理办法》（2011年文化部令第52号）第十九条：在作出行政处罚之前，应当告知当事人作出行政处罚决定的事实、理由和依据，并告知当事人依法享有的权利。执法人员应当充分听取当事人的陈述和申辩，并制作笔录，对当事人提出的事实、理由和证据进行复核，经复核成立的应当采纳。</w:t>
            </w:r>
          </w:p>
        </w:tc>
        <w:tc>
          <w:tcPr>
            <w:tcW w:w="2685" w:type="dxa"/>
            <w:tcBorders>
              <w:top w:val="single" w:color="auto" w:sz="4" w:space="0"/>
              <w:left w:val="single" w:color="auto" w:sz="4" w:space="0"/>
              <w:bottom w:val="single" w:color="auto" w:sz="4" w:space="0"/>
              <w:right w:val="single" w:color="auto" w:sz="4" w:space="0"/>
            </w:tcBorders>
            <w:noWrap w:val="0"/>
            <w:vAlign w:val="center"/>
          </w:tcPr>
          <w:p w14:paraId="1E9ED453">
            <w:pPr>
              <w:widowControl/>
              <w:adjustRightInd w:val="0"/>
              <w:snapToGrid w:val="0"/>
              <w:spacing w:line="300" w:lineRule="exact"/>
              <w:ind w:firstLine="400" w:firstLineChars="200"/>
              <w:rPr>
                <w:rFonts w:hint="eastAsia" w:ascii="仿宋_GB2312" w:hAnsi="仿宋_GB2312" w:eastAsia="仿宋_GB2312"/>
                <w:snapToGrid w:val="0"/>
                <w:color w:val="auto"/>
                <w:sz w:val="20"/>
              </w:rPr>
            </w:pPr>
            <w:r>
              <w:rPr>
                <w:rFonts w:hint="eastAsia" w:ascii="仿宋_GB2312" w:hAnsi="仿宋_GB2312" w:eastAsia="仿宋_GB2312"/>
                <w:snapToGrid w:val="0"/>
                <w:color w:val="auto"/>
                <w:sz w:val="20"/>
              </w:rPr>
              <w:t>因不履行或不正确履行行政职责，有下列情形的，行政机关及相关工作人应承担相应责任：</w:t>
            </w:r>
          </w:p>
          <w:p w14:paraId="1E9D8C76">
            <w:pPr>
              <w:widowControl/>
              <w:adjustRightInd w:val="0"/>
              <w:snapToGrid w:val="0"/>
              <w:spacing w:line="300" w:lineRule="exact"/>
              <w:ind w:firstLine="400" w:firstLineChars="200"/>
              <w:rPr>
                <w:rFonts w:hint="eastAsia" w:ascii="仿宋_GB2312" w:hAnsi="仿宋_GB2312" w:eastAsia="仿宋_GB2312"/>
                <w:snapToGrid w:val="0"/>
                <w:color w:val="auto"/>
                <w:sz w:val="20"/>
              </w:rPr>
            </w:pPr>
            <w:r>
              <w:rPr>
                <w:rFonts w:ascii="仿宋_GB2312" w:hAnsi="仿宋_GB2312" w:eastAsia="仿宋_GB2312"/>
                <w:snapToGrid w:val="0"/>
                <w:color w:val="auto"/>
                <w:sz w:val="20"/>
              </w:rPr>
              <w:t>1.</w:t>
            </w:r>
            <w:r>
              <w:rPr>
                <w:rFonts w:hint="eastAsia" w:ascii="仿宋_GB2312" w:hAnsi="仿宋_GB2312" w:eastAsia="仿宋_GB2312"/>
                <w:snapToGrid w:val="0"/>
                <w:color w:val="auto"/>
                <w:sz w:val="20"/>
              </w:rPr>
              <w:t>没有法律和事实依据实施行政处罚的；</w:t>
            </w:r>
          </w:p>
          <w:p w14:paraId="2BB9DE03">
            <w:pPr>
              <w:widowControl/>
              <w:adjustRightInd w:val="0"/>
              <w:snapToGrid w:val="0"/>
              <w:spacing w:line="300" w:lineRule="exact"/>
              <w:ind w:firstLine="400" w:firstLineChars="200"/>
              <w:rPr>
                <w:rFonts w:hint="eastAsia" w:ascii="仿宋_GB2312" w:hAnsi="仿宋_GB2312" w:eastAsia="仿宋_GB2312"/>
                <w:snapToGrid w:val="0"/>
                <w:color w:val="auto"/>
                <w:sz w:val="20"/>
              </w:rPr>
            </w:pPr>
            <w:r>
              <w:rPr>
                <w:rFonts w:ascii="仿宋_GB2312" w:hAnsi="仿宋_GB2312" w:eastAsia="仿宋_GB2312"/>
                <w:snapToGrid w:val="0"/>
                <w:color w:val="auto"/>
                <w:sz w:val="20"/>
              </w:rPr>
              <w:t>2.</w:t>
            </w:r>
            <w:r>
              <w:rPr>
                <w:rFonts w:hint="eastAsia" w:ascii="仿宋_GB2312" w:hAnsi="仿宋_GB2312" w:eastAsia="仿宋_GB2312"/>
                <w:snapToGrid w:val="0"/>
                <w:color w:val="auto"/>
                <w:sz w:val="20"/>
              </w:rPr>
              <w:t>执法人员玩忽职守，对应当予以制止和处罚的违法行为不予制止、处罚，致使公民、法人或者其他组织的合法权益、公共利益和社会秩序遭受损害的；</w:t>
            </w:r>
          </w:p>
          <w:p w14:paraId="2F262915">
            <w:pPr>
              <w:widowControl/>
              <w:adjustRightInd w:val="0"/>
              <w:snapToGrid w:val="0"/>
              <w:spacing w:line="300" w:lineRule="exact"/>
              <w:ind w:firstLine="400" w:firstLineChars="200"/>
              <w:rPr>
                <w:rFonts w:hint="eastAsia" w:ascii="仿宋_GB2312" w:hAnsi="仿宋_GB2312" w:eastAsia="仿宋_GB2312"/>
                <w:snapToGrid w:val="0"/>
                <w:color w:val="auto"/>
                <w:sz w:val="20"/>
              </w:rPr>
            </w:pPr>
            <w:r>
              <w:rPr>
                <w:rFonts w:ascii="仿宋_GB2312" w:hAnsi="仿宋_GB2312" w:eastAsia="仿宋_GB2312"/>
                <w:snapToGrid w:val="0"/>
                <w:color w:val="auto"/>
                <w:sz w:val="20"/>
              </w:rPr>
              <w:t>3.</w:t>
            </w:r>
            <w:r>
              <w:rPr>
                <w:rFonts w:hint="eastAsia" w:ascii="仿宋_GB2312" w:hAnsi="仿宋_GB2312" w:eastAsia="仿宋_GB2312"/>
                <w:snapToGrid w:val="0"/>
                <w:color w:val="auto"/>
                <w:sz w:val="20"/>
              </w:rPr>
              <w:t>不具备行政执法资格实施行政处罚的；</w:t>
            </w:r>
          </w:p>
          <w:p w14:paraId="44BAAB1E">
            <w:pPr>
              <w:widowControl/>
              <w:adjustRightInd w:val="0"/>
              <w:snapToGrid w:val="0"/>
              <w:spacing w:line="300" w:lineRule="exact"/>
              <w:ind w:firstLine="400" w:firstLineChars="200"/>
              <w:rPr>
                <w:rFonts w:hint="eastAsia" w:ascii="仿宋_GB2312" w:hAnsi="仿宋_GB2312" w:eastAsia="仿宋_GB2312"/>
                <w:snapToGrid w:val="0"/>
                <w:color w:val="auto"/>
                <w:sz w:val="20"/>
              </w:rPr>
            </w:pPr>
            <w:r>
              <w:rPr>
                <w:rFonts w:ascii="仿宋_GB2312" w:hAnsi="仿宋_GB2312" w:eastAsia="仿宋_GB2312"/>
                <w:snapToGrid w:val="0"/>
                <w:color w:val="auto"/>
                <w:sz w:val="20"/>
              </w:rPr>
              <w:t>4.</w:t>
            </w:r>
            <w:r>
              <w:rPr>
                <w:rFonts w:hint="eastAsia" w:ascii="仿宋_GB2312" w:hAnsi="仿宋_GB2312" w:eastAsia="仿宋_GB2312"/>
                <w:snapToGrid w:val="0"/>
                <w:color w:val="auto"/>
                <w:sz w:val="20"/>
              </w:rPr>
              <w:t>迟报、谎报、瞒报、漏报突发事件信息，或者通报、报告、公布虚假突发事件信息，造成严重后果的；</w:t>
            </w:r>
          </w:p>
          <w:p w14:paraId="49A2BC00">
            <w:pPr>
              <w:widowControl/>
              <w:adjustRightInd w:val="0"/>
              <w:snapToGrid w:val="0"/>
              <w:spacing w:line="300" w:lineRule="exact"/>
              <w:ind w:firstLine="400" w:firstLineChars="200"/>
              <w:rPr>
                <w:rFonts w:hint="eastAsia" w:ascii="仿宋_GB2312" w:hAnsi="仿宋_GB2312" w:eastAsia="仿宋_GB2312"/>
                <w:snapToGrid w:val="0"/>
                <w:color w:val="auto"/>
                <w:sz w:val="20"/>
              </w:rPr>
            </w:pPr>
            <w:r>
              <w:rPr>
                <w:rFonts w:ascii="仿宋_GB2312" w:hAnsi="仿宋_GB2312" w:eastAsia="仿宋_GB2312"/>
                <w:snapToGrid w:val="0"/>
                <w:color w:val="auto"/>
                <w:sz w:val="20"/>
              </w:rPr>
              <w:t>5.</w:t>
            </w:r>
            <w:r>
              <w:rPr>
                <w:rFonts w:hint="eastAsia" w:ascii="仿宋_GB2312" w:hAnsi="仿宋_GB2312" w:eastAsia="仿宋_GB2312"/>
                <w:snapToGrid w:val="0"/>
                <w:color w:val="auto"/>
                <w:sz w:val="20"/>
              </w:rPr>
              <w:t>应当依法移送追究刑事责任，而未依法移送有关机关的；</w:t>
            </w:r>
          </w:p>
          <w:p w14:paraId="43221C1A">
            <w:pPr>
              <w:widowControl/>
              <w:adjustRightInd w:val="0"/>
              <w:snapToGrid w:val="0"/>
              <w:spacing w:line="300" w:lineRule="exact"/>
              <w:ind w:firstLine="400" w:firstLineChars="200"/>
              <w:rPr>
                <w:rFonts w:hint="eastAsia" w:ascii="仿宋_GB2312" w:hAnsi="仿宋_GB2312" w:eastAsia="仿宋_GB2312"/>
                <w:snapToGrid w:val="0"/>
                <w:color w:val="auto"/>
                <w:sz w:val="20"/>
              </w:rPr>
            </w:pPr>
            <w:r>
              <w:rPr>
                <w:rFonts w:ascii="仿宋_GB2312" w:hAnsi="仿宋_GB2312" w:eastAsia="仿宋_GB2312"/>
                <w:snapToGrid w:val="0"/>
                <w:color w:val="auto"/>
                <w:sz w:val="20"/>
              </w:rPr>
              <w:t>6.</w:t>
            </w:r>
            <w:r>
              <w:rPr>
                <w:rFonts w:hint="eastAsia" w:ascii="仿宋_GB2312" w:hAnsi="仿宋_GB2312" w:eastAsia="仿宋_GB2312"/>
                <w:snapToGrid w:val="0"/>
                <w:color w:val="auto"/>
                <w:sz w:val="20"/>
              </w:rPr>
              <w:t>擅自改变行政处罚种类、幅度的；</w:t>
            </w:r>
          </w:p>
          <w:p w14:paraId="65A746FD">
            <w:pPr>
              <w:widowControl/>
              <w:adjustRightInd w:val="0"/>
              <w:snapToGrid w:val="0"/>
              <w:spacing w:line="300" w:lineRule="exact"/>
              <w:ind w:firstLine="400" w:firstLineChars="200"/>
              <w:rPr>
                <w:rFonts w:hint="eastAsia" w:ascii="仿宋_GB2312" w:hAnsi="仿宋_GB2312" w:eastAsia="仿宋_GB2312"/>
                <w:snapToGrid w:val="0"/>
                <w:color w:val="auto"/>
                <w:sz w:val="20"/>
              </w:rPr>
            </w:pPr>
            <w:r>
              <w:rPr>
                <w:rFonts w:ascii="仿宋_GB2312" w:hAnsi="仿宋_GB2312" w:eastAsia="仿宋_GB2312"/>
                <w:snapToGrid w:val="0"/>
                <w:color w:val="auto"/>
                <w:sz w:val="20"/>
              </w:rPr>
              <w:t>7.</w:t>
            </w:r>
            <w:r>
              <w:rPr>
                <w:rFonts w:hint="eastAsia" w:ascii="仿宋_GB2312" w:hAnsi="仿宋_GB2312" w:eastAsia="仿宋_GB2312"/>
                <w:snapToGrid w:val="0"/>
                <w:color w:val="auto"/>
                <w:sz w:val="20"/>
              </w:rPr>
              <w:t>违反法定的行政处罚程序的；</w:t>
            </w:r>
          </w:p>
          <w:p w14:paraId="7DD6CB11">
            <w:pPr>
              <w:widowControl/>
              <w:adjustRightInd w:val="0"/>
              <w:snapToGrid w:val="0"/>
              <w:spacing w:line="300" w:lineRule="exact"/>
              <w:ind w:firstLine="400" w:firstLineChars="200"/>
              <w:rPr>
                <w:rFonts w:hint="eastAsia" w:ascii="仿宋_GB2312" w:hAnsi="仿宋_GB2312" w:eastAsia="仿宋_GB2312"/>
                <w:snapToGrid w:val="0"/>
                <w:color w:val="auto"/>
                <w:sz w:val="20"/>
              </w:rPr>
            </w:pPr>
            <w:r>
              <w:rPr>
                <w:rFonts w:ascii="仿宋_GB2312" w:hAnsi="仿宋_GB2312" w:eastAsia="仿宋_GB2312"/>
                <w:snapToGrid w:val="0"/>
                <w:color w:val="auto"/>
                <w:sz w:val="20"/>
              </w:rPr>
              <w:t>8.</w:t>
            </w:r>
            <w:r>
              <w:rPr>
                <w:rFonts w:hint="eastAsia" w:ascii="仿宋_GB2312" w:hAnsi="仿宋_GB2312" w:eastAsia="仿宋_GB2312"/>
                <w:snapToGrid w:val="0"/>
                <w:color w:val="auto"/>
                <w:sz w:val="20"/>
              </w:rPr>
              <w:t>符合听证条件、行政管理相对人要求听证，应予组织听证而不组织听证的；</w:t>
            </w:r>
          </w:p>
          <w:p w14:paraId="4D234AF0">
            <w:pPr>
              <w:widowControl/>
              <w:adjustRightInd w:val="0"/>
              <w:snapToGrid w:val="0"/>
              <w:spacing w:line="300" w:lineRule="exact"/>
              <w:ind w:firstLine="400" w:firstLineChars="200"/>
              <w:rPr>
                <w:rFonts w:hint="eastAsia" w:ascii="仿宋_GB2312" w:hAnsi="仿宋_GB2312" w:eastAsia="仿宋_GB2312"/>
                <w:snapToGrid w:val="0"/>
                <w:color w:val="auto"/>
                <w:sz w:val="20"/>
              </w:rPr>
            </w:pPr>
            <w:r>
              <w:rPr>
                <w:rFonts w:ascii="仿宋_GB2312" w:hAnsi="仿宋_GB2312" w:eastAsia="仿宋_GB2312"/>
                <w:snapToGrid w:val="0"/>
                <w:color w:val="auto"/>
                <w:sz w:val="20"/>
              </w:rPr>
              <w:t>9.</w:t>
            </w:r>
            <w:r>
              <w:rPr>
                <w:rFonts w:hint="eastAsia" w:ascii="仿宋_GB2312" w:hAnsi="仿宋_GB2312" w:eastAsia="仿宋_GB2312"/>
                <w:snapToGrid w:val="0"/>
                <w:color w:val="auto"/>
                <w:sz w:val="20"/>
              </w:rPr>
              <w:t>在行政处罚过程中发生腐败行为的；</w:t>
            </w:r>
          </w:p>
          <w:p w14:paraId="57B86FDC">
            <w:pPr>
              <w:widowControl/>
              <w:adjustRightInd w:val="0"/>
              <w:snapToGrid w:val="0"/>
              <w:spacing w:line="300" w:lineRule="exact"/>
              <w:ind w:firstLine="400" w:firstLineChars="200"/>
              <w:rPr>
                <w:rFonts w:hint="eastAsia" w:ascii="仿宋_GB2312" w:hAnsi="仿宋_GB2312" w:eastAsia="仿宋_GB2312"/>
                <w:snapToGrid w:val="0"/>
                <w:color w:val="auto"/>
                <w:sz w:val="20"/>
              </w:rPr>
            </w:pPr>
            <w:r>
              <w:rPr>
                <w:rFonts w:ascii="仿宋_GB2312" w:hAnsi="仿宋_GB2312" w:eastAsia="仿宋_GB2312"/>
                <w:snapToGrid w:val="0"/>
                <w:color w:val="auto"/>
                <w:sz w:val="20"/>
              </w:rPr>
              <w:t>10.</w:t>
            </w:r>
            <w:r>
              <w:rPr>
                <w:rFonts w:hint="eastAsia" w:ascii="仿宋_GB2312" w:hAnsi="仿宋_GB2312" w:eastAsia="仿宋_GB2312"/>
                <w:snapToGrid w:val="0"/>
                <w:color w:val="auto"/>
                <w:sz w:val="20"/>
              </w:rPr>
              <w:t>其他违反法律法规规章文件规定的行为。</w:t>
            </w:r>
          </w:p>
        </w:tc>
        <w:tc>
          <w:tcPr>
            <w:tcW w:w="3261" w:type="dxa"/>
            <w:tcBorders>
              <w:top w:val="single" w:color="auto" w:sz="4" w:space="0"/>
              <w:left w:val="single" w:color="auto" w:sz="4" w:space="0"/>
              <w:bottom w:val="single" w:color="auto" w:sz="4" w:space="0"/>
              <w:right w:val="single" w:color="auto" w:sz="4" w:space="0"/>
            </w:tcBorders>
            <w:noWrap w:val="0"/>
            <w:vAlign w:val="center"/>
          </w:tcPr>
          <w:p w14:paraId="5102FD27">
            <w:pPr>
              <w:widowControl/>
              <w:adjustRightInd w:val="0"/>
              <w:snapToGrid w:val="0"/>
              <w:spacing w:line="300" w:lineRule="exact"/>
              <w:ind w:firstLine="400" w:firstLineChars="200"/>
              <w:rPr>
                <w:rFonts w:hint="eastAsia" w:ascii="仿宋_GB2312" w:hAnsi="仿宋_GB2312" w:eastAsia="仿宋_GB2312"/>
                <w:snapToGrid w:val="0"/>
                <w:color w:val="auto"/>
                <w:sz w:val="20"/>
              </w:rPr>
            </w:pPr>
            <w:r>
              <w:rPr>
                <w:rFonts w:ascii="仿宋_GB2312" w:hAnsi="仿宋_GB2312" w:eastAsia="仿宋_GB2312"/>
                <w:snapToGrid w:val="0"/>
                <w:color w:val="auto"/>
                <w:sz w:val="20"/>
              </w:rPr>
              <w:t>1.</w:t>
            </w:r>
            <w:r>
              <w:rPr>
                <w:rFonts w:hint="eastAsia" w:ascii="仿宋_GB2312" w:hAnsi="仿宋_GB2312" w:eastAsia="仿宋_GB2312"/>
                <w:snapToGrid w:val="0"/>
                <w:color w:val="auto"/>
                <w:sz w:val="20"/>
              </w:rPr>
              <w:t>【行政法规】《电影管理条例》（2001年国务院令第342号公布）第五十四条 国务院广播电影电视行政部门和县级以上地方人民政府电影行政部门或者其他有关部门及其工作人员，利用职务上的便利收受他人财物或者其他好处，批准不符合法定设立条件的电影片的制片、发行和放映单位，或者不履行监督职责，或者发现违法行为不予查处，造成严重后果的，对负有责任的主管人员和其他直接责任人员依照刑法关于受贿罪、滥用职权罪、玩忽职守罪或者其他罪的规定，依法追究刑事责任；尚不够刑事处罚的，给予降级或者撤职的行政处分。</w:t>
            </w:r>
          </w:p>
          <w:p w14:paraId="4171FCB1">
            <w:pPr>
              <w:widowControl/>
              <w:adjustRightInd w:val="0"/>
              <w:snapToGrid w:val="0"/>
              <w:spacing w:line="300" w:lineRule="exact"/>
              <w:ind w:firstLine="400" w:firstLineChars="200"/>
              <w:rPr>
                <w:rFonts w:hint="eastAsia" w:ascii="仿宋_GB2312" w:hAnsi="仿宋_GB2312" w:eastAsia="仿宋_GB2312"/>
                <w:snapToGrid w:val="0"/>
                <w:color w:val="auto"/>
                <w:sz w:val="20"/>
              </w:rPr>
            </w:pPr>
            <w:r>
              <w:rPr>
                <w:rFonts w:ascii="仿宋_GB2312" w:hAnsi="仿宋_GB2312" w:eastAsia="仿宋_GB2312"/>
                <w:snapToGrid w:val="0"/>
                <w:color w:val="auto"/>
                <w:sz w:val="20"/>
              </w:rPr>
              <w:t>2.</w:t>
            </w:r>
            <w:r>
              <w:rPr>
                <w:rFonts w:hint="eastAsia" w:ascii="仿宋_GB2312" w:hAnsi="仿宋_GB2312" w:eastAsia="仿宋_GB2312"/>
                <w:snapToGrid w:val="0"/>
                <w:color w:val="auto"/>
                <w:sz w:val="20"/>
              </w:rPr>
              <w:t>同1。</w:t>
            </w:r>
          </w:p>
          <w:p w14:paraId="2C3403BF">
            <w:pPr>
              <w:widowControl/>
              <w:adjustRightInd w:val="0"/>
              <w:snapToGrid w:val="0"/>
              <w:spacing w:line="300" w:lineRule="exact"/>
              <w:ind w:firstLine="400" w:firstLineChars="200"/>
              <w:rPr>
                <w:rFonts w:hint="eastAsia" w:ascii="仿宋_GB2312" w:hAnsi="仿宋_GB2312" w:eastAsia="仿宋_GB2312"/>
                <w:snapToGrid w:val="0"/>
                <w:color w:val="auto"/>
                <w:sz w:val="20"/>
              </w:rPr>
            </w:pPr>
            <w:r>
              <w:rPr>
                <w:rFonts w:ascii="仿宋_GB2312" w:hAnsi="仿宋_GB2312" w:eastAsia="仿宋_GB2312"/>
                <w:snapToGrid w:val="0"/>
                <w:color w:val="auto"/>
                <w:sz w:val="20"/>
              </w:rPr>
              <w:t>3.</w:t>
            </w:r>
            <w:r>
              <w:rPr>
                <w:rFonts w:hint="eastAsia" w:ascii="仿宋_GB2312" w:hAnsi="仿宋_GB2312" w:eastAsia="仿宋_GB2312"/>
                <w:snapToGrid w:val="0"/>
                <w:color w:val="auto"/>
                <w:sz w:val="20"/>
              </w:rPr>
              <w:t>【部门规章】《文化市场综合行政执法管理办法》（2011年文化部令第52号公布）第三十九条第二项 执法人员有下列情形之一，尚不构成犯罪的，应当依法给予行政处分，并收回其执法证件；情节严重，构成犯罪的，依法追究刑事责任：（二）利用职权或者工作之便索取或者收受他人财物，或者支持、纵容、包庇文化市场违法经营活动的。</w:t>
            </w:r>
          </w:p>
        </w:tc>
        <w:tc>
          <w:tcPr>
            <w:tcW w:w="1210" w:type="dxa"/>
            <w:tcBorders>
              <w:top w:val="single" w:color="auto" w:sz="4" w:space="0"/>
              <w:left w:val="single" w:color="auto" w:sz="4" w:space="0"/>
              <w:bottom w:val="single" w:color="auto" w:sz="4" w:space="0"/>
              <w:right w:val="single" w:color="auto" w:sz="4" w:space="0"/>
            </w:tcBorders>
            <w:noWrap w:val="0"/>
            <w:vAlign w:val="center"/>
          </w:tcPr>
          <w:p w14:paraId="68F7CB33">
            <w:pPr>
              <w:adjustRightInd w:val="0"/>
              <w:snapToGrid w:val="0"/>
              <w:spacing w:line="300" w:lineRule="exact"/>
              <w:jc w:val="center"/>
              <w:rPr>
                <w:rFonts w:hint="eastAsia" w:ascii="仿宋_GB2312" w:hAnsi="仿宋_GB2312" w:eastAsia="仿宋_GB2312" w:cs="仿宋_GB2312"/>
                <w:color w:val="auto"/>
                <w:kern w:val="0"/>
                <w:sz w:val="20"/>
                <w:szCs w:val="20"/>
              </w:rPr>
            </w:pPr>
            <w:r>
              <w:rPr>
                <w:rFonts w:hint="eastAsia" w:ascii="仿宋_GB2312" w:hAnsi="仿宋_GB2312" w:eastAsia="仿宋_GB2312" w:cs="仿宋_GB2312"/>
                <w:color w:val="auto"/>
                <w:kern w:val="0"/>
                <w:sz w:val="20"/>
                <w:szCs w:val="20"/>
              </w:rPr>
              <w:t>法律法规规定的免责情形及市委、市人民政府有关文件中明确的免责情形。</w:t>
            </w:r>
          </w:p>
        </w:tc>
        <w:tc>
          <w:tcPr>
            <w:tcW w:w="481" w:type="dxa"/>
            <w:tcBorders>
              <w:top w:val="single" w:color="auto" w:sz="4" w:space="0"/>
              <w:left w:val="single" w:color="auto" w:sz="4" w:space="0"/>
              <w:bottom w:val="single" w:color="auto" w:sz="4" w:space="0"/>
              <w:right w:val="single" w:color="auto" w:sz="4" w:space="0"/>
            </w:tcBorders>
            <w:noWrap w:val="0"/>
            <w:vAlign w:val="center"/>
          </w:tcPr>
          <w:p w14:paraId="22408CA7">
            <w:pPr>
              <w:adjustRightInd w:val="0"/>
              <w:snapToGrid w:val="0"/>
              <w:spacing w:line="300" w:lineRule="exact"/>
              <w:jc w:val="center"/>
              <w:rPr>
                <w:rFonts w:hint="eastAsia" w:ascii="仿宋_GB2312" w:hAnsi="仿宋_GB2312" w:eastAsia="仿宋_GB2312" w:cs="仿宋_GB2312"/>
                <w:color w:val="auto"/>
                <w:kern w:val="0"/>
                <w:sz w:val="20"/>
                <w:szCs w:val="20"/>
              </w:rPr>
            </w:pPr>
          </w:p>
        </w:tc>
      </w:tr>
      <w:tr w14:paraId="6B8D7F9D">
        <w:tblPrEx>
          <w:tblCellMar>
            <w:top w:w="28" w:type="dxa"/>
            <w:left w:w="28" w:type="dxa"/>
            <w:bottom w:w="28" w:type="dxa"/>
            <w:right w:w="28" w:type="dxa"/>
          </w:tblCellMar>
        </w:tblPrEx>
        <w:trPr>
          <w:trHeight w:val="12472" w:hRule="atLeast"/>
          <w:jc w:val="center"/>
        </w:trPr>
        <w:tc>
          <w:tcPr>
            <w:tcW w:w="500" w:type="dxa"/>
            <w:tcBorders>
              <w:top w:val="single" w:color="auto" w:sz="4" w:space="0"/>
              <w:left w:val="single" w:color="auto" w:sz="4" w:space="0"/>
              <w:bottom w:val="single" w:color="auto" w:sz="4" w:space="0"/>
              <w:right w:val="single" w:color="auto" w:sz="4" w:space="0"/>
            </w:tcBorders>
            <w:noWrap w:val="0"/>
            <w:vAlign w:val="center"/>
          </w:tcPr>
          <w:p w14:paraId="317CCEE2">
            <w:pPr>
              <w:widowControl/>
              <w:adjustRightInd w:val="0"/>
              <w:snapToGrid w:val="0"/>
              <w:spacing w:line="300" w:lineRule="exact"/>
              <w:jc w:val="center"/>
              <w:rPr>
                <w:rFonts w:hint="eastAsia" w:eastAsia="宋体"/>
                <w:color w:val="auto"/>
                <w:lang w:eastAsia="zh-CN"/>
              </w:rPr>
            </w:pPr>
            <w:r>
              <w:rPr>
                <w:rFonts w:hint="eastAsia"/>
                <w:color w:val="auto"/>
                <w:lang w:val="en-US" w:eastAsia="zh-CN"/>
              </w:rPr>
              <w:t>4</w:t>
            </w:r>
          </w:p>
        </w:tc>
        <w:tc>
          <w:tcPr>
            <w:tcW w:w="703" w:type="dxa"/>
            <w:tcBorders>
              <w:top w:val="single" w:color="auto" w:sz="4" w:space="0"/>
              <w:left w:val="single" w:color="auto" w:sz="4" w:space="0"/>
              <w:bottom w:val="single" w:color="auto" w:sz="4" w:space="0"/>
              <w:right w:val="single" w:color="auto" w:sz="4" w:space="0"/>
            </w:tcBorders>
            <w:noWrap w:val="0"/>
            <w:vAlign w:val="center"/>
          </w:tcPr>
          <w:p w14:paraId="7D55A0C3">
            <w:pPr>
              <w:adjustRightInd w:val="0"/>
              <w:snapToGrid w:val="0"/>
              <w:spacing w:line="300" w:lineRule="exact"/>
              <w:jc w:val="center"/>
              <w:rPr>
                <w:rFonts w:hint="eastAsia" w:ascii="仿宋_GB2312" w:hAnsi="仿宋_GB2312" w:eastAsia="仿宋_GB2312" w:cs="仿宋_GB2312"/>
                <w:color w:val="auto"/>
                <w:kern w:val="0"/>
                <w:sz w:val="20"/>
              </w:rPr>
            </w:pPr>
            <w:r>
              <w:rPr>
                <w:rFonts w:hint="eastAsia" w:ascii="仿宋_GB2312" w:hAnsi="仿宋_GB2312" w:eastAsia="仿宋_GB2312" w:cs="仿宋_GB2312"/>
                <w:color w:val="auto"/>
                <w:kern w:val="0"/>
                <w:sz w:val="20"/>
              </w:rPr>
              <w:t>行政检查</w:t>
            </w:r>
          </w:p>
        </w:tc>
        <w:tc>
          <w:tcPr>
            <w:tcW w:w="641" w:type="dxa"/>
            <w:tcBorders>
              <w:top w:val="single" w:color="auto" w:sz="4" w:space="0"/>
              <w:left w:val="single" w:color="auto" w:sz="4" w:space="0"/>
              <w:bottom w:val="single" w:color="auto" w:sz="4" w:space="0"/>
              <w:right w:val="single" w:color="auto" w:sz="4" w:space="0"/>
            </w:tcBorders>
            <w:noWrap w:val="0"/>
            <w:vAlign w:val="center"/>
          </w:tcPr>
          <w:p w14:paraId="78F10D27">
            <w:pPr>
              <w:adjustRightInd w:val="0"/>
              <w:snapToGrid w:val="0"/>
              <w:spacing w:line="300" w:lineRule="exact"/>
              <w:jc w:val="center"/>
              <w:rPr>
                <w:rFonts w:hint="eastAsia" w:ascii="仿宋_GB2312" w:hAnsi="仿宋_GB2312" w:eastAsia="仿宋_GB2312" w:cs="仿宋_GB2312"/>
                <w:color w:val="auto"/>
                <w:kern w:val="0"/>
                <w:sz w:val="20"/>
              </w:rPr>
            </w:pPr>
            <w:r>
              <w:rPr>
                <w:rFonts w:hint="eastAsia" w:ascii="仿宋_GB2312" w:hAnsi="仿宋_GB2312" w:eastAsia="仿宋_GB2312" w:cs="仿宋_GB2312"/>
                <w:color w:val="auto"/>
                <w:kern w:val="0"/>
                <w:sz w:val="20"/>
              </w:rPr>
              <w:t>对出版物零售单位的监督检查</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37FBE4A5">
            <w:pPr>
              <w:adjustRightInd w:val="0"/>
              <w:snapToGrid w:val="0"/>
              <w:spacing w:line="300" w:lineRule="exact"/>
              <w:jc w:val="center"/>
              <w:rPr>
                <w:rFonts w:hint="eastAsia" w:ascii="仿宋_GB2312" w:hAnsi="仿宋_GB2312" w:eastAsia="仿宋_GB2312" w:cs="仿宋_GB2312"/>
                <w:color w:val="auto"/>
                <w:kern w:val="0"/>
                <w:sz w:val="20"/>
              </w:rPr>
            </w:pPr>
          </w:p>
        </w:tc>
        <w:tc>
          <w:tcPr>
            <w:tcW w:w="628" w:type="dxa"/>
            <w:tcBorders>
              <w:top w:val="single" w:color="auto" w:sz="4" w:space="0"/>
              <w:left w:val="single" w:color="auto" w:sz="4" w:space="0"/>
              <w:bottom w:val="single" w:color="auto" w:sz="4" w:space="0"/>
              <w:right w:val="single" w:color="auto" w:sz="4" w:space="0"/>
            </w:tcBorders>
            <w:noWrap w:val="0"/>
            <w:vAlign w:val="center"/>
          </w:tcPr>
          <w:p w14:paraId="2C8A6411">
            <w:pPr>
              <w:adjustRightInd w:val="0"/>
              <w:snapToGrid w:val="0"/>
              <w:spacing w:line="300" w:lineRule="exact"/>
              <w:jc w:val="center"/>
              <w:rPr>
                <w:rFonts w:hint="eastAsia" w:ascii="仿宋_GB2312" w:hAnsi="仿宋_GB2312" w:eastAsia="仿宋_GB2312" w:cs="仿宋_GB2312"/>
                <w:color w:val="auto"/>
                <w:kern w:val="0"/>
                <w:sz w:val="20"/>
              </w:rPr>
            </w:pPr>
            <w:r>
              <w:rPr>
                <w:rFonts w:hint="eastAsia" w:ascii="仿宋_GB2312" w:hAnsi="仿宋_GB2312" w:eastAsia="仿宋_GB2312" w:cs="仿宋_GB2312"/>
                <w:color w:val="auto"/>
                <w:kern w:val="0"/>
                <w:sz w:val="20"/>
                <w:lang w:eastAsia="zh-CN"/>
              </w:rPr>
              <w:t>城中区新闻出版局</w:t>
            </w:r>
          </w:p>
        </w:tc>
        <w:tc>
          <w:tcPr>
            <w:tcW w:w="1122" w:type="dxa"/>
            <w:tcBorders>
              <w:top w:val="single" w:color="auto" w:sz="4" w:space="0"/>
              <w:left w:val="single" w:color="auto" w:sz="4" w:space="0"/>
              <w:bottom w:val="single" w:color="auto" w:sz="4" w:space="0"/>
              <w:right w:val="single" w:color="auto" w:sz="4" w:space="0"/>
            </w:tcBorders>
            <w:noWrap w:val="0"/>
            <w:vAlign w:val="center"/>
          </w:tcPr>
          <w:p w14:paraId="51A7F932">
            <w:pPr>
              <w:adjustRightInd w:val="0"/>
              <w:snapToGrid w:val="0"/>
              <w:spacing w:line="300" w:lineRule="exact"/>
              <w:jc w:val="center"/>
              <w:rPr>
                <w:rFonts w:hint="eastAsia" w:ascii="仿宋_GB2312" w:hAnsi="仿宋_GB2312" w:eastAsia="仿宋_GB2312" w:cs="仿宋_GB2312"/>
                <w:color w:val="auto"/>
                <w:kern w:val="0"/>
                <w:sz w:val="20"/>
              </w:rPr>
            </w:pPr>
            <w:r>
              <w:rPr>
                <w:rFonts w:hint="eastAsia" w:ascii="仿宋_GB2312" w:hAnsi="仿宋_GB2312" w:eastAsia="仿宋_GB2312" w:cs="仿宋_GB2312"/>
                <w:color w:val="auto"/>
                <w:kern w:val="0"/>
                <w:sz w:val="20"/>
                <w:lang w:eastAsia="zh-CN"/>
              </w:rPr>
              <w:t>城中区新闻出版局</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9967750">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1.【行政法规】《出版管理条例》（2001年12月25日国务院令第343号，2024年国务院令第797号修订）第六条第二款：县级以上地方各级人民政府负责出版管理的部门（以下简称出版行政主管部门）负责本行政区域内出版活动的监督管理工作。县级以上地方各级人民政府其他有关部门在各自的职责范围内，负责有关的出版活动的监督管理工作。</w:t>
            </w:r>
          </w:p>
          <w:p w14:paraId="341932FA">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2.【部门规章】《出版物市场管理规定》（2016年国家新闻出版广电总局、商务部令第10号）第四条第二款：省、自治区直辖市人民政府出版行政主管部门负责本行政区域内出版物发行活动的监督管理，制定本省、自治区、直辖市出版物发行业发展规划。省级以下各级人民政府出版行政主管部门负责本行政区域内出版物发行活动的监督管理。</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4B2296F0">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1.告知责任：对违法事实、处理依据、处理意见告知，听取当事人陈述申辩。</w:t>
            </w:r>
          </w:p>
          <w:p w14:paraId="0BF404DD">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2.检查责任：检查应按有关程序进行，指定专人负责，及时组织调查取证，与当事人有直接利害关系的应当回避。检查人员不得少于两人，调查时应出示执法证件，允许当事人辩解陈述。检查人员应保守有关秘密。</w:t>
            </w:r>
          </w:p>
          <w:p w14:paraId="2D96BB84">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3.处理责任：对违法事实、证据资料、调查程序、法律适用、当事人陈述理由等进行审查，提出初步处理意见。</w:t>
            </w:r>
          </w:p>
          <w:p w14:paraId="2A39636F">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4.监督责任：电影部门进行事中事后监管。</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5578DBC4">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1.【部门规章】《文化市场综合行政执法管理办法》（2011年文化部令第52号）第二十二条：在调查或者执法检查时，执法人员不得少于2名，并应当向当事人或者有关人员出示执法证件。当事人及有关人员应当如实回答询问，并协助调查或者检查。执法人员应当制作调查询问或者现场检查笔录，经当事人或者有关人员核对无误后，由当事人或者有关人员签名或者盖章。当事人或者有关人员拒绝的，由2名以上执法人员在笔录上注明情况并签名。执法人员与当事人有直接利害关系的，应当回避。</w:t>
            </w:r>
          </w:p>
          <w:p w14:paraId="30C76302">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2.【部门规章】《文化市场综合行政执法管理办法》（2011年文化部令第52号）第十九条：在作出行政处罚之前，应当告知当事人作出行政处罚决定的事实、理由和依据，并告知当事人依法享有的权利。执法人员应当充分听取当事人的陈述和申辩，并制作笔录，对当事人提出的事实、理由和证据进行复核，经复核成立的应当采纳。</w:t>
            </w:r>
          </w:p>
          <w:p w14:paraId="2E2FB4E0">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eastAsia="仿宋_GB2312" w:cs="仿宋_GB2312"/>
                <w:snapToGrid w:val="0"/>
                <w:color w:val="auto"/>
                <w:sz w:val="20"/>
                <w:szCs w:val="20"/>
              </w:rPr>
              <w:t>3.【地方政府规章】《广西壮族自治区行政执法程序规定》（1997年广西壮族自治区人民政府令第13号）第三十三条：调查终结，办案人员应向所在行政执法机关提出调查报告和处理意见，并送本机关法制工作机构或本机关指定的其他机构进行审核；审核机构应在七日内审核完毕，连同审核意见一并报送本机关负责人进行审查。</w:t>
            </w:r>
          </w:p>
        </w:tc>
        <w:tc>
          <w:tcPr>
            <w:tcW w:w="2685" w:type="dxa"/>
            <w:tcBorders>
              <w:top w:val="single" w:color="auto" w:sz="4" w:space="0"/>
              <w:left w:val="single" w:color="auto" w:sz="4" w:space="0"/>
              <w:bottom w:val="single" w:color="auto" w:sz="4" w:space="0"/>
              <w:right w:val="single" w:color="auto" w:sz="4" w:space="0"/>
            </w:tcBorders>
            <w:noWrap w:val="0"/>
            <w:vAlign w:val="center"/>
          </w:tcPr>
          <w:p w14:paraId="4E868DD2">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因不履行或不正确履行行政职责，有下列情形的，行政机关及相关工作人应承担相应责任：</w:t>
            </w:r>
          </w:p>
          <w:p w14:paraId="6ED65B7A">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1.没有法律和事实依据实施行政处罚的；</w:t>
            </w:r>
          </w:p>
          <w:p w14:paraId="1C3F68DD">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2.执法人员玩忽职守，对应当予以制止和处罚的违法行为不予制止、处罚，致使公民、法人或者其他组织的合法权益、公共利益和社会秩序遭受损害的；</w:t>
            </w:r>
          </w:p>
          <w:p w14:paraId="7D60ACAB">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3.不具备行政执法资格实施行政处罚的；</w:t>
            </w:r>
          </w:p>
          <w:p w14:paraId="0D65BDC7">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4.迟报、谎报、瞒报、漏报突发事件信息，或者通报、报告、公布虚假突发事件信息，造成严重后果的；</w:t>
            </w:r>
          </w:p>
          <w:p w14:paraId="1E8BA027">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5.应当依法移送追究刑事责任，而未依法移送有关机关的；</w:t>
            </w:r>
          </w:p>
          <w:p w14:paraId="15F59B08">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6.擅自改变行政处罚种类、幅度的；</w:t>
            </w:r>
          </w:p>
          <w:p w14:paraId="6DD79687">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7.违反法定的行政处罚程序的；</w:t>
            </w:r>
          </w:p>
          <w:p w14:paraId="093C5B01">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8.符合听证条件、行政管理相对人要求听证，应予组织听证而不组织听证的；</w:t>
            </w:r>
          </w:p>
          <w:p w14:paraId="1AE3B09D">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9.在行政处罚过程中发生腐败行为的；</w:t>
            </w:r>
          </w:p>
          <w:p w14:paraId="1F72BBD4">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10.其他违反法律法规规章文件规定的行为。</w:t>
            </w:r>
          </w:p>
        </w:tc>
        <w:tc>
          <w:tcPr>
            <w:tcW w:w="3261" w:type="dxa"/>
            <w:tcBorders>
              <w:top w:val="single" w:color="auto" w:sz="4" w:space="0"/>
              <w:left w:val="single" w:color="auto" w:sz="4" w:space="0"/>
              <w:bottom w:val="single" w:color="auto" w:sz="4" w:space="0"/>
              <w:right w:val="single" w:color="auto" w:sz="4" w:space="0"/>
            </w:tcBorders>
            <w:noWrap w:val="0"/>
            <w:vAlign w:val="center"/>
          </w:tcPr>
          <w:p w14:paraId="6BAEC848">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1-1.【行政法规】《出版管理条例》（2001年国务院令第343号公布，2020年国务院令第732号修订）第六十条 出版行政主管部门或者其他有关部门的工作人员，利用职务上的便利收受他人财物或者其他好处，批准不符合法定条件的申请人取得许可证、批准文件，或者不履行监督职责，或者发现违法行为不予查处，造成严重后果的，依法给予降级直至开除的处分；构成犯罪的，依照刑法关于受贿罪、滥用职权罪、玩忽职守罪或者其他罪的规定，依法追究刑事责任。</w:t>
            </w:r>
          </w:p>
          <w:p w14:paraId="5AB96DC8">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1-2.【政府规章】《广西壮族自治区行政过错责任追究办法》（2007年4月17日自治区第十届人民政府第63次常务会议审议通过，自2007年6月1日起施行） 第十一条第四项 行政机关及其工作人员在实施行政监督检查过程中，有下列情形之一的，应当追究行政过错责任：（四）发现违法行为不依法制止、纠正。</w:t>
            </w:r>
          </w:p>
          <w:p w14:paraId="76CB6AAC">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2.【部门规章】《文化市场综合行政执法管理办法》（2011年文化部令第52号公布）第三十九条第四项 执法人员有下列情形之一，尚不构成犯罪的，应当依法给予行政处分，并收回其执法证件；情节严重，构成犯罪的，依法追究刑事责任：（四）玩忽职守、贻误工作的。</w:t>
            </w:r>
          </w:p>
          <w:p w14:paraId="357EAB79">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3.【部门规章】《文化市场综合行政执法管理办法》（2011年文化部令第52号公布）第三十九条第一项、第二项 执法人员有下列情形之一，尚不构成犯罪的，应当依法给予行政处分，并收回其执法证件；情节严重，构成犯罪的，依法追究刑事责任：（一）滥用职权，侵犯公民、法人及其他组织合法权益的；（二）利用职权或者工作之便索取或者收受他人财物，或者支持、纵容、包庇文化市场违法经营活动的。</w:t>
            </w:r>
          </w:p>
        </w:tc>
        <w:tc>
          <w:tcPr>
            <w:tcW w:w="1210" w:type="dxa"/>
            <w:tcBorders>
              <w:top w:val="single" w:color="auto" w:sz="4" w:space="0"/>
              <w:left w:val="single" w:color="auto" w:sz="4" w:space="0"/>
              <w:bottom w:val="single" w:color="auto" w:sz="4" w:space="0"/>
              <w:right w:val="single" w:color="auto" w:sz="4" w:space="0"/>
            </w:tcBorders>
            <w:noWrap w:val="0"/>
            <w:vAlign w:val="center"/>
          </w:tcPr>
          <w:p w14:paraId="5181375A">
            <w:pPr>
              <w:spacing w:line="300" w:lineRule="exact"/>
              <w:rPr>
                <w:rFonts w:hint="eastAsia" w:ascii="仿宋_GB2312" w:hAnsi="仿宋_GB2312" w:eastAsia="仿宋_GB2312" w:cs="仿宋_GB2312"/>
                <w:snapToGrid w:val="0"/>
                <w:color w:val="auto"/>
                <w:sz w:val="20"/>
              </w:rPr>
            </w:pPr>
            <w:r>
              <w:rPr>
                <w:rFonts w:hint="eastAsia" w:ascii="仿宋_GB2312" w:hAnsi="仿宋_GB2312" w:eastAsia="仿宋_GB2312" w:cs="仿宋_GB2312"/>
                <w:color w:val="auto"/>
                <w:kern w:val="0"/>
                <w:sz w:val="20"/>
                <w:szCs w:val="20"/>
              </w:rPr>
              <w:t>法律法规规定的免责情形及市委、市人民政府有关文件中明确的免责情形。</w:t>
            </w:r>
          </w:p>
        </w:tc>
        <w:tc>
          <w:tcPr>
            <w:tcW w:w="481" w:type="dxa"/>
            <w:tcBorders>
              <w:top w:val="single" w:color="auto" w:sz="4" w:space="0"/>
              <w:left w:val="single" w:color="auto" w:sz="4" w:space="0"/>
              <w:bottom w:val="single" w:color="auto" w:sz="4" w:space="0"/>
              <w:right w:val="single" w:color="auto" w:sz="4" w:space="0"/>
            </w:tcBorders>
            <w:noWrap w:val="0"/>
            <w:vAlign w:val="center"/>
          </w:tcPr>
          <w:p w14:paraId="6E658895">
            <w:pPr>
              <w:widowControl/>
              <w:spacing w:line="300" w:lineRule="exact"/>
              <w:jc w:val="center"/>
              <w:textAlignment w:val="center"/>
              <w:rPr>
                <w:rFonts w:hint="eastAsia" w:ascii="仿宋_GB2312" w:hAnsi="仿宋_GB2312" w:eastAsia="仿宋_GB2312" w:cs="仿宋_GB2312"/>
                <w:snapToGrid w:val="0"/>
                <w:color w:val="auto"/>
                <w:sz w:val="20"/>
              </w:rPr>
            </w:pPr>
            <w:r>
              <w:rPr>
                <w:rFonts w:hint="eastAsia" w:ascii="仿宋_GB2312" w:hAnsi="仿宋_GB2312" w:eastAsia="仿宋_GB2312" w:cs="仿宋_GB2312"/>
                <w:color w:val="auto"/>
                <w:kern w:val="0"/>
                <w:sz w:val="20"/>
                <w:lang w:val="en-US" w:eastAsia="zh-CN"/>
              </w:rPr>
              <w:t>区“扫黄打非”工作领导小组各成员单位配合做好行政检查。</w:t>
            </w:r>
          </w:p>
        </w:tc>
      </w:tr>
      <w:tr w14:paraId="31C4E8C2">
        <w:tblPrEx>
          <w:tblCellMar>
            <w:top w:w="28" w:type="dxa"/>
            <w:left w:w="28" w:type="dxa"/>
            <w:bottom w:w="28" w:type="dxa"/>
            <w:right w:w="28" w:type="dxa"/>
          </w:tblCellMar>
        </w:tblPrEx>
        <w:trPr>
          <w:trHeight w:val="12472" w:hRule="atLeast"/>
          <w:jc w:val="center"/>
        </w:trPr>
        <w:tc>
          <w:tcPr>
            <w:tcW w:w="500" w:type="dxa"/>
            <w:tcBorders>
              <w:top w:val="single" w:color="auto" w:sz="4" w:space="0"/>
              <w:left w:val="single" w:color="auto" w:sz="4" w:space="0"/>
              <w:bottom w:val="single" w:color="auto" w:sz="4" w:space="0"/>
              <w:right w:val="single" w:color="auto" w:sz="4" w:space="0"/>
            </w:tcBorders>
            <w:noWrap w:val="0"/>
            <w:vAlign w:val="center"/>
          </w:tcPr>
          <w:p w14:paraId="03701DCD">
            <w:pPr>
              <w:widowControl/>
              <w:adjustRightInd w:val="0"/>
              <w:snapToGrid w:val="0"/>
              <w:spacing w:line="300" w:lineRule="exact"/>
              <w:jc w:val="center"/>
              <w:rPr>
                <w:rFonts w:hint="eastAsia" w:eastAsia="宋体"/>
                <w:color w:val="auto"/>
                <w:lang w:eastAsia="zh-CN"/>
              </w:rPr>
            </w:pPr>
            <w:r>
              <w:rPr>
                <w:rFonts w:hint="eastAsia"/>
                <w:color w:val="auto"/>
                <w:lang w:val="en-US" w:eastAsia="zh-CN"/>
              </w:rPr>
              <w:t>5</w:t>
            </w:r>
          </w:p>
        </w:tc>
        <w:tc>
          <w:tcPr>
            <w:tcW w:w="703" w:type="dxa"/>
            <w:tcBorders>
              <w:top w:val="single" w:color="auto" w:sz="4" w:space="0"/>
              <w:left w:val="single" w:color="auto" w:sz="4" w:space="0"/>
              <w:bottom w:val="single" w:color="auto" w:sz="4" w:space="0"/>
              <w:right w:val="single" w:color="auto" w:sz="4" w:space="0"/>
            </w:tcBorders>
            <w:noWrap w:val="0"/>
            <w:vAlign w:val="center"/>
          </w:tcPr>
          <w:p w14:paraId="6AFA803A">
            <w:pPr>
              <w:adjustRightInd w:val="0"/>
              <w:snapToGrid w:val="0"/>
              <w:spacing w:line="300" w:lineRule="exact"/>
              <w:jc w:val="center"/>
              <w:rPr>
                <w:rFonts w:hint="eastAsia" w:ascii="仿宋_GB2312" w:hAnsi="仿宋_GB2312" w:eastAsia="仿宋_GB2312" w:cs="仿宋_GB2312"/>
                <w:color w:val="auto"/>
                <w:kern w:val="0"/>
                <w:sz w:val="20"/>
              </w:rPr>
            </w:pPr>
            <w:r>
              <w:rPr>
                <w:rFonts w:hint="eastAsia" w:ascii="仿宋_GB2312" w:hAnsi="仿宋_GB2312" w:eastAsia="仿宋_GB2312" w:cs="仿宋_GB2312"/>
                <w:color w:val="auto"/>
                <w:kern w:val="0"/>
                <w:sz w:val="20"/>
              </w:rPr>
              <w:t>行政检查</w:t>
            </w:r>
          </w:p>
        </w:tc>
        <w:tc>
          <w:tcPr>
            <w:tcW w:w="641" w:type="dxa"/>
            <w:tcBorders>
              <w:top w:val="single" w:color="auto" w:sz="4" w:space="0"/>
              <w:left w:val="single" w:color="auto" w:sz="4" w:space="0"/>
              <w:bottom w:val="single" w:color="auto" w:sz="4" w:space="0"/>
              <w:right w:val="single" w:color="auto" w:sz="4" w:space="0"/>
            </w:tcBorders>
            <w:noWrap w:val="0"/>
            <w:vAlign w:val="center"/>
          </w:tcPr>
          <w:p w14:paraId="3E7B02C6">
            <w:pPr>
              <w:adjustRightInd w:val="0"/>
              <w:snapToGrid w:val="0"/>
              <w:spacing w:line="300" w:lineRule="exact"/>
              <w:jc w:val="center"/>
              <w:rPr>
                <w:rFonts w:hint="eastAsia" w:ascii="仿宋_GB2312" w:hAnsi="仿宋_GB2312" w:eastAsia="仿宋_GB2312" w:cs="仿宋_GB2312"/>
                <w:color w:val="auto"/>
                <w:kern w:val="0"/>
                <w:sz w:val="20"/>
              </w:rPr>
            </w:pPr>
            <w:r>
              <w:rPr>
                <w:rFonts w:hint="eastAsia" w:ascii="仿宋_GB2312" w:hAnsi="仿宋_GB2312" w:eastAsia="仿宋_GB2312" w:cs="仿宋_GB2312"/>
                <w:color w:val="auto"/>
                <w:kern w:val="0"/>
                <w:sz w:val="20"/>
              </w:rPr>
              <w:t>对印刷企业的监督检查</w:t>
            </w:r>
          </w:p>
        </w:tc>
        <w:tc>
          <w:tcPr>
            <w:tcW w:w="603" w:type="dxa"/>
            <w:tcBorders>
              <w:top w:val="single" w:color="auto" w:sz="4" w:space="0"/>
              <w:left w:val="single" w:color="auto" w:sz="4" w:space="0"/>
              <w:bottom w:val="single" w:color="auto" w:sz="4" w:space="0"/>
              <w:right w:val="single" w:color="auto" w:sz="4" w:space="0"/>
            </w:tcBorders>
            <w:noWrap w:val="0"/>
            <w:vAlign w:val="center"/>
          </w:tcPr>
          <w:p w14:paraId="2A6655AE">
            <w:pPr>
              <w:adjustRightInd w:val="0"/>
              <w:snapToGrid w:val="0"/>
              <w:spacing w:line="300" w:lineRule="exact"/>
              <w:jc w:val="center"/>
              <w:rPr>
                <w:rFonts w:hint="eastAsia" w:ascii="仿宋_GB2312" w:hAnsi="仿宋_GB2312" w:eastAsia="仿宋_GB2312" w:cs="仿宋_GB2312"/>
                <w:color w:val="auto"/>
                <w:kern w:val="0"/>
                <w:sz w:val="20"/>
              </w:rPr>
            </w:pPr>
          </w:p>
        </w:tc>
        <w:tc>
          <w:tcPr>
            <w:tcW w:w="628" w:type="dxa"/>
            <w:tcBorders>
              <w:top w:val="single" w:color="auto" w:sz="4" w:space="0"/>
              <w:left w:val="single" w:color="auto" w:sz="4" w:space="0"/>
              <w:bottom w:val="single" w:color="auto" w:sz="4" w:space="0"/>
              <w:right w:val="single" w:color="auto" w:sz="4" w:space="0"/>
            </w:tcBorders>
            <w:noWrap w:val="0"/>
            <w:vAlign w:val="center"/>
          </w:tcPr>
          <w:p w14:paraId="7DFEE290">
            <w:pPr>
              <w:adjustRightInd w:val="0"/>
              <w:snapToGrid w:val="0"/>
              <w:spacing w:line="300" w:lineRule="exact"/>
              <w:jc w:val="center"/>
              <w:rPr>
                <w:rFonts w:hint="eastAsia" w:ascii="仿宋_GB2312" w:hAnsi="仿宋_GB2312" w:eastAsia="仿宋_GB2312" w:cs="仿宋_GB2312"/>
                <w:color w:val="auto"/>
                <w:kern w:val="0"/>
                <w:sz w:val="20"/>
              </w:rPr>
            </w:pPr>
            <w:r>
              <w:rPr>
                <w:rFonts w:hint="eastAsia" w:ascii="仿宋_GB2312" w:hAnsi="仿宋_GB2312" w:eastAsia="仿宋_GB2312" w:cs="仿宋_GB2312"/>
                <w:color w:val="auto"/>
                <w:kern w:val="0"/>
                <w:sz w:val="20"/>
                <w:lang w:eastAsia="zh-CN"/>
              </w:rPr>
              <w:t>城中区新闻出版局</w:t>
            </w:r>
          </w:p>
        </w:tc>
        <w:tc>
          <w:tcPr>
            <w:tcW w:w="1122" w:type="dxa"/>
            <w:tcBorders>
              <w:top w:val="single" w:color="auto" w:sz="4" w:space="0"/>
              <w:left w:val="single" w:color="auto" w:sz="4" w:space="0"/>
              <w:bottom w:val="single" w:color="auto" w:sz="4" w:space="0"/>
              <w:right w:val="single" w:color="auto" w:sz="4" w:space="0"/>
            </w:tcBorders>
            <w:noWrap w:val="0"/>
            <w:vAlign w:val="center"/>
          </w:tcPr>
          <w:p w14:paraId="0D7B0208">
            <w:pPr>
              <w:adjustRightInd w:val="0"/>
              <w:snapToGrid w:val="0"/>
              <w:spacing w:line="300" w:lineRule="exact"/>
              <w:jc w:val="center"/>
              <w:rPr>
                <w:rFonts w:hint="eastAsia" w:ascii="仿宋_GB2312" w:hAnsi="仿宋_GB2312" w:eastAsia="仿宋_GB2312" w:cs="仿宋_GB2312"/>
                <w:color w:val="auto"/>
                <w:kern w:val="0"/>
                <w:sz w:val="20"/>
              </w:rPr>
            </w:pPr>
            <w:r>
              <w:rPr>
                <w:rFonts w:hint="eastAsia" w:ascii="仿宋_GB2312" w:hAnsi="仿宋_GB2312" w:eastAsia="仿宋_GB2312" w:cs="仿宋_GB2312"/>
                <w:color w:val="auto"/>
                <w:kern w:val="0"/>
                <w:sz w:val="20"/>
                <w:lang w:eastAsia="zh-CN"/>
              </w:rPr>
              <w:t>城中区新闻出版局</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090BC7D">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1.【行政法规】《出版管理条例》（2001年10月25日国务院令第343号，根据2016年2月6日发布的国务院令第666号修订）第六条第二款：县级以上地方各级人民政府负责出版管理的部门（以下简称出版行政主管部门）负责本行政区域内出版活动的监督管理工作。县级以上地方各级人民政府其他有关部门在各自的职责范围内，负责有关的出版活动的监督管理工作。</w:t>
            </w:r>
          </w:p>
          <w:p w14:paraId="4C70A273">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2.【行政法规】《印刷业管理条例》（2001年国务院令第315号公布，2020年国务院令第732号修订） 第四条：国务院出版行政部门主管全国的印刷业监督管理工作。县级以上地方各级人民政府负责出版管理的行政部门（以下简称出版行政部门）负责本行政区域内的印刷业监督管理工作。</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1732E1B0">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1.告知责任：对违法事实、处理依据、处理意见告知，听取当事人陈述申辩。</w:t>
            </w:r>
          </w:p>
          <w:p w14:paraId="6D018234">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2.检查责任：检查应按有关程序进行，指定专人负责，及时组织调查取证，与当事人有直接利害关系的应当回避。检查人员不得少于两人，调查时应出示执法证件，允许当事人辩解陈述。检查人员应保守有关秘密。</w:t>
            </w:r>
          </w:p>
          <w:p w14:paraId="2F7137A2">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3.处理责任：对违法事实、证据资料、调查程序、法律适用、当事人陈述理由等进行审查，提出初步处理意见。</w:t>
            </w:r>
          </w:p>
          <w:p w14:paraId="7E598FF6">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4.监督责任：新闻出版管理部门进行事中事后监管。</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60F8C3F3">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1.【部门规章】《文化市场综合行政执法管理办法》（2011年文化部令第52号）第二十二条：在调查或者执法检查时，执法人员不得少于2名，并应当向当事人或者有关人员出示执法证件。当事人及有关人员应当如实回答询问，并协助调查或者检查。执法人员应当制作调查询问或者现场检查笔录，经当事人或者有关人员核对无误后，由当事人或者有关人员签名或者盖章。当事人或者有关人员拒绝的，由2名以上执法人员在笔录上注明情况并签名。执法人员与当事人有直接利害关系的，应当回避。</w:t>
            </w:r>
          </w:p>
          <w:p w14:paraId="0086FE45">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2.【部门规章】《文化市场综合行政执法管理办法》（2011年文化部令第52号）第十九条：在作出行政处罚之前，应当告知当事人作出行政处罚决定的事实、理由和依据，并告知当事人依法享有的权利。执法人员应当充分听取当事人的陈述和申辩，并制作笔录，对当事人提出的事实、理由和证据进行复核，经复核成立的应当采纳。</w:t>
            </w:r>
          </w:p>
          <w:p w14:paraId="793C14BB">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eastAsia="仿宋_GB2312" w:cs="仿宋_GB2312"/>
                <w:snapToGrid w:val="0"/>
                <w:color w:val="auto"/>
                <w:sz w:val="20"/>
                <w:szCs w:val="20"/>
              </w:rPr>
              <w:t>3.【地方政府规章】《广西壮族自治区行政执法程序规定》（1997年广西壮族自治区人民政府令第13号）第三十三条：调查终结，办案人员应向所在行政执法机关提出调查报告和处理意见，并送本机关法制工作机构或本机关指定的其他机构进行审核；审核机构应在七日内审核完毕，连同审核意见一并报送本机关负责人进行审查。</w:t>
            </w:r>
          </w:p>
        </w:tc>
        <w:tc>
          <w:tcPr>
            <w:tcW w:w="2685" w:type="dxa"/>
            <w:tcBorders>
              <w:top w:val="single" w:color="auto" w:sz="4" w:space="0"/>
              <w:left w:val="single" w:color="auto" w:sz="4" w:space="0"/>
              <w:bottom w:val="single" w:color="auto" w:sz="4" w:space="0"/>
              <w:right w:val="single" w:color="auto" w:sz="4" w:space="0"/>
            </w:tcBorders>
            <w:noWrap w:val="0"/>
            <w:vAlign w:val="center"/>
          </w:tcPr>
          <w:p w14:paraId="339E23E0">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因不履行或不正确履行行政职责，有下列情形的，行政机关及相关工作人应承担相应责任：</w:t>
            </w:r>
          </w:p>
          <w:p w14:paraId="4E07CF8F">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1.没有法律和事实依据实施行政处罚的；</w:t>
            </w:r>
          </w:p>
          <w:p w14:paraId="65FAC304">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2.执法人员玩忽职守，对应当予以制止和处罚的违法行为不予制止、处罚，致使公民、法人或者其他组织的合法权益、公共利益和社会秩序遭受损害的；</w:t>
            </w:r>
          </w:p>
          <w:p w14:paraId="07C2DD15">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3.不具备行政执法资格实施行政处罚的；</w:t>
            </w:r>
          </w:p>
          <w:p w14:paraId="7C82A16B">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4.迟报、谎报、瞒报、漏报突发事件信息，或者通报、报告、公布虚假突发事件信息，造成严重后果的；</w:t>
            </w:r>
          </w:p>
          <w:p w14:paraId="766B3B80">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5.应当依法移送追究刑事责任，而未依法移送有关机关的；</w:t>
            </w:r>
          </w:p>
          <w:p w14:paraId="1F7B1FD1">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6.擅自改变行政处罚种类、幅度的；</w:t>
            </w:r>
          </w:p>
          <w:p w14:paraId="7C614535">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7.违反法定的行政处罚程序的；</w:t>
            </w:r>
          </w:p>
          <w:p w14:paraId="17C461DA">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8.符合听证条件、行政管理相对人要求听证，应予组织听证而不组织听证的；</w:t>
            </w:r>
          </w:p>
          <w:p w14:paraId="1AB20764">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9.在行政处罚过程中发生腐败行为的；</w:t>
            </w:r>
          </w:p>
          <w:p w14:paraId="68C3B728">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10.其他违反法律法规规章文件规定的行为。</w:t>
            </w:r>
          </w:p>
        </w:tc>
        <w:tc>
          <w:tcPr>
            <w:tcW w:w="3261" w:type="dxa"/>
            <w:tcBorders>
              <w:top w:val="single" w:color="auto" w:sz="4" w:space="0"/>
              <w:left w:val="single" w:color="auto" w:sz="4" w:space="0"/>
              <w:bottom w:val="single" w:color="auto" w:sz="4" w:space="0"/>
              <w:right w:val="single" w:color="auto" w:sz="4" w:space="0"/>
            </w:tcBorders>
            <w:noWrap w:val="0"/>
            <w:vAlign w:val="center"/>
          </w:tcPr>
          <w:p w14:paraId="26ECD948">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1-1.【行政法规】《印刷业管理条例》（2001年国务院令第315号公布，2016年国务院令第666号修改，2017年国务院令第676号修订）第四十七条 出版行政部门、工商行政管理部门或者其他有关部门违反本条例规定，擅自批准不符合法定条件的申请人取得许可证、批准文件，或者不履行监督职责，或者发现违法行为不予查处，造成严重后果的，对负责的主管人员和其他直接责任人员给予降级或者撤职的处分；构成犯罪的，依法追究刑事责任。</w:t>
            </w:r>
          </w:p>
          <w:p w14:paraId="4E1AA5AA">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1-2.【政府规章】《广西壮族自治区行政过错责任追究办法》（2007年4月17日自治区第十届人民政府第63次常务会议审议通过，自2007年6月1日起施行） 第十一条第四项 行政机关及其工作人员在实施行政监督检查过程中，有下列情形之一的，应当追究行政过错责任：（四）发现违法行为不依法制止、纠正。</w:t>
            </w:r>
          </w:p>
          <w:p w14:paraId="358097EF">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2.【部门规章】《文化市场综合行政执法管理办法》（2011年文化部令第52号公布）第三十九条第四项 执法人员有下列情形之一，尚不构成犯罪的，应当依法给予行政处分，并收回其执法证件；情节严重，构成犯罪的，依法追究刑事责任：（四）玩忽职守、贻误工作的。</w:t>
            </w:r>
          </w:p>
          <w:p w14:paraId="736F3E04">
            <w:pPr>
              <w:widowControl/>
              <w:adjustRightInd w:val="0"/>
              <w:snapToGrid w:val="0"/>
              <w:spacing w:line="300" w:lineRule="exact"/>
              <w:ind w:firstLine="400" w:firstLineChars="200"/>
              <w:rPr>
                <w:rFonts w:hint="eastAsia" w:ascii="仿宋_GB2312" w:hAnsi="仿宋_GB2312" w:eastAsia="仿宋_GB2312" w:cs="仿宋_GB2312"/>
                <w:snapToGrid w:val="0"/>
                <w:color w:val="auto"/>
                <w:sz w:val="20"/>
              </w:rPr>
            </w:pPr>
            <w:r>
              <w:rPr>
                <w:rFonts w:hint="eastAsia" w:ascii="仿宋_GB2312" w:hAnsi="仿宋_GB2312" w:eastAsia="仿宋_GB2312" w:cs="仿宋_GB2312"/>
                <w:snapToGrid w:val="0"/>
                <w:color w:val="auto"/>
                <w:sz w:val="20"/>
              </w:rPr>
              <w:t>3.【部门规章】《文化市场综合行政执法管理办法》（2011年文化部令第52号公布）第三十九条第一项、第二项 执法人员有下列情形之一，尚不构成犯罪的，应当依法给予行政处分，并收回其执法证件；情节严重，构成犯罪的，依法追究刑事责任：（一）滥用职权，侵犯公民、法人及其他组织合法权益的；（二）利用职权或者工作之便索取或者收受他人财物，或者支持、纵容、包庇文化市场违法经营活动的。</w:t>
            </w:r>
          </w:p>
        </w:tc>
        <w:tc>
          <w:tcPr>
            <w:tcW w:w="1210" w:type="dxa"/>
            <w:tcBorders>
              <w:top w:val="single" w:color="auto" w:sz="4" w:space="0"/>
              <w:left w:val="single" w:color="auto" w:sz="4" w:space="0"/>
              <w:bottom w:val="single" w:color="auto" w:sz="4" w:space="0"/>
              <w:right w:val="single" w:color="auto" w:sz="4" w:space="0"/>
            </w:tcBorders>
            <w:noWrap w:val="0"/>
            <w:vAlign w:val="center"/>
          </w:tcPr>
          <w:p w14:paraId="105D236D">
            <w:pPr>
              <w:spacing w:line="300" w:lineRule="exact"/>
              <w:rPr>
                <w:rFonts w:hint="eastAsia" w:ascii="仿宋_GB2312" w:hAnsi="仿宋_GB2312" w:eastAsia="仿宋_GB2312" w:cs="仿宋_GB2312"/>
                <w:snapToGrid w:val="0"/>
                <w:color w:val="auto"/>
                <w:sz w:val="20"/>
              </w:rPr>
            </w:pPr>
            <w:r>
              <w:rPr>
                <w:rFonts w:hint="eastAsia" w:ascii="仿宋_GB2312" w:hAnsi="仿宋_GB2312" w:eastAsia="仿宋_GB2312" w:cs="仿宋_GB2312"/>
                <w:color w:val="auto"/>
                <w:kern w:val="0"/>
                <w:sz w:val="20"/>
                <w:szCs w:val="20"/>
              </w:rPr>
              <w:t>法律法规规定的免责情形及市委、市人民政府有关文件中明确的免责情形。</w:t>
            </w:r>
          </w:p>
        </w:tc>
        <w:tc>
          <w:tcPr>
            <w:tcW w:w="481" w:type="dxa"/>
            <w:tcBorders>
              <w:top w:val="single" w:color="auto" w:sz="4" w:space="0"/>
              <w:left w:val="single" w:color="auto" w:sz="4" w:space="0"/>
              <w:bottom w:val="single" w:color="auto" w:sz="4" w:space="0"/>
              <w:right w:val="single" w:color="auto" w:sz="4" w:space="0"/>
            </w:tcBorders>
            <w:noWrap w:val="0"/>
            <w:vAlign w:val="center"/>
          </w:tcPr>
          <w:p w14:paraId="7BE6DE79">
            <w:pPr>
              <w:widowControl/>
              <w:spacing w:line="300" w:lineRule="exact"/>
              <w:jc w:val="center"/>
              <w:textAlignment w:val="center"/>
              <w:rPr>
                <w:rFonts w:hint="eastAsia" w:ascii="仿宋_GB2312" w:hAnsi="仿宋_GB2312" w:eastAsia="仿宋_GB2312" w:cs="仿宋_GB2312"/>
                <w:snapToGrid w:val="0"/>
                <w:color w:val="auto"/>
                <w:sz w:val="20"/>
              </w:rPr>
            </w:pPr>
            <w:r>
              <w:rPr>
                <w:rFonts w:hint="eastAsia" w:ascii="仿宋_GB2312" w:hAnsi="仿宋_GB2312" w:eastAsia="仿宋_GB2312" w:cs="仿宋_GB2312"/>
                <w:color w:val="auto"/>
                <w:kern w:val="0"/>
                <w:sz w:val="20"/>
                <w:lang w:val="en-US" w:eastAsia="zh-CN"/>
              </w:rPr>
              <w:t>区“扫黄打非”工作领导小组各成员单位配合做好行政检查。</w:t>
            </w:r>
          </w:p>
        </w:tc>
      </w:tr>
    </w:tbl>
    <w:p w14:paraId="08A4E67C">
      <w:pPr>
        <w:adjustRightInd w:val="0"/>
        <w:snapToGrid w:val="0"/>
        <w:spacing w:line="240" w:lineRule="exact"/>
        <w:rPr>
          <w:rFonts w:ascii="方正小标宋_GBK" w:eastAsia="方正小标宋_GBK"/>
          <w:sz w:val="44"/>
          <w:szCs w:val="44"/>
        </w:rPr>
      </w:pPr>
    </w:p>
    <w:sectPr>
      <w:footerReference r:id="rId3" w:type="default"/>
      <w:footerReference r:id="rId4" w:type="even"/>
      <w:pgSz w:w="23814" w:h="16840" w:orient="landscape"/>
      <w:pgMar w:top="1418" w:right="1361" w:bottom="1418" w:left="1361" w:header="851" w:footer="1077"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思源宋体">
    <w:panose1 w:val="02020400000000000000"/>
    <w:charset w:val="86"/>
    <w:family w:val="auto"/>
    <w:pitch w:val="default"/>
    <w:sig w:usb0="30000083" w:usb1="2BDF3C10" w:usb2="00000016" w:usb3="00000000" w:csb0="602E0107"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F66B9">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-19050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A89655">
                          <w:pPr>
                            <w:pStyle w:val="2"/>
                            <w:ind w:firstLine="280" w:firstLineChars="100"/>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10673</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1.5pt;height:144pt;width:144pt;mso-position-horizontal:outside;mso-position-horizontal-relative:margin;mso-wrap-style:none;z-index:251659264;mso-width-relative:page;mso-height-relative:page;" filled="f" stroked="f" coordsize="21600,21600" o:gfxdata="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sXxrrdIAAAAHAQAADwAAAAAAAAAB&#10;ACAAAAAiAAAAZHJzL2Rvd25yZXYueG1sUEsBAhQAFAAAAAgAh07iQG15XmjdAQAAvgMAAA4AAAAA&#10;AAAAAQAgAAAAIQEAAGRycy9lMm9Eb2MueG1sUEsFBgAAAAAGAAYAWQEAAHAFAAAAAA==&#10;">
              <v:fill on="f" focussize="0,0"/>
              <v:stroke on="f"/>
              <v:imagedata o:title=""/>
              <o:lock v:ext="edit" aspectratio="f"/>
              <v:textbox inset="0mm,0mm,0mm,0mm" style="mso-fit-shape-to-text:t;">
                <w:txbxContent>
                  <w:p w14:paraId="2EA89655">
                    <w:pPr>
                      <w:pStyle w:val="2"/>
                      <w:ind w:firstLine="280" w:firstLineChars="100"/>
                      <w:rPr>
                        <w:rFonts w:hint="eastAsia" w:ascii="宋体" w:hAnsi="宋体" w:eastAsia="宋体" w:cs="宋体"/>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10673</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02784">
    <w:pPr>
      <w:pStyle w:val="2"/>
      <w:framePr w:wrap="around" w:vAnchor="text" w:hAnchor="margin" w:xAlign="center" w:y="1"/>
      <w:rPr>
        <w:rStyle w:val="6"/>
      </w:rPr>
    </w:pPr>
    <w:r>
      <w:fldChar w:fldCharType="begin"/>
    </w:r>
    <w:r>
      <w:rPr>
        <w:rStyle w:val="6"/>
      </w:rPr>
      <w:instrText xml:space="preserve">PAGE  </w:instrText>
    </w:r>
    <w:r>
      <w:fldChar w:fldCharType="end"/>
    </w:r>
  </w:p>
  <w:p w14:paraId="6AB4D099">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D0D81"/>
    <w:rsid w:val="001829D5"/>
    <w:rsid w:val="00195D89"/>
    <w:rsid w:val="002D7C32"/>
    <w:rsid w:val="0036692A"/>
    <w:rsid w:val="00422CE1"/>
    <w:rsid w:val="00426A2F"/>
    <w:rsid w:val="004B1546"/>
    <w:rsid w:val="004C2E41"/>
    <w:rsid w:val="00541B8B"/>
    <w:rsid w:val="0055328B"/>
    <w:rsid w:val="005C601B"/>
    <w:rsid w:val="005F64FF"/>
    <w:rsid w:val="007178FA"/>
    <w:rsid w:val="007474D9"/>
    <w:rsid w:val="00776674"/>
    <w:rsid w:val="00787815"/>
    <w:rsid w:val="00793D63"/>
    <w:rsid w:val="007A27A7"/>
    <w:rsid w:val="007B551F"/>
    <w:rsid w:val="00886AA1"/>
    <w:rsid w:val="008938C9"/>
    <w:rsid w:val="00936CE1"/>
    <w:rsid w:val="00942267"/>
    <w:rsid w:val="009677D3"/>
    <w:rsid w:val="00982754"/>
    <w:rsid w:val="009D5707"/>
    <w:rsid w:val="00A229FB"/>
    <w:rsid w:val="00A31F4C"/>
    <w:rsid w:val="00A45C5A"/>
    <w:rsid w:val="00A54501"/>
    <w:rsid w:val="00A8536F"/>
    <w:rsid w:val="00A94804"/>
    <w:rsid w:val="00A97D2F"/>
    <w:rsid w:val="00AE7DA8"/>
    <w:rsid w:val="00B21782"/>
    <w:rsid w:val="00B63B80"/>
    <w:rsid w:val="00B77217"/>
    <w:rsid w:val="00B94254"/>
    <w:rsid w:val="00BB1CD2"/>
    <w:rsid w:val="00BD476C"/>
    <w:rsid w:val="00BF718A"/>
    <w:rsid w:val="00C05597"/>
    <w:rsid w:val="00C41BB5"/>
    <w:rsid w:val="00C444B2"/>
    <w:rsid w:val="00C45D84"/>
    <w:rsid w:val="00C65D0C"/>
    <w:rsid w:val="00CD2272"/>
    <w:rsid w:val="00CF4516"/>
    <w:rsid w:val="00CF769B"/>
    <w:rsid w:val="00D14DB5"/>
    <w:rsid w:val="00D31061"/>
    <w:rsid w:val="00DC7525"/>
    <w:rsid w:val="00DF3C02"/>
    <w:rsid w:val="00E0131C"/>
    <w:rsid w:val="00E06E66"/>
    <w:rsid w:val="00E1008C"/>
    <w:rsid w:val="00E26299"/>
    <w:rsid w:val="00F37938"/>
    <w:rsid w:val="01E51C88"/>
    <w:rsid w:val="02D265EE"/>
    <w:rsid w:val="03D30178"/>
    <w:rsid w:val="05DD0723"/>
    <w:rsid w:val="06813B55"/>
    <w:rsid w:val="0A285CB0"/>
    <w:rsid w:val="0C482007"/>
    <w:rsid w:val="108E453B"/>
    <w:rsid w:val="11373496"/>
    <w:rsid w:val="11D47F6B"/>
    <w:rsid w:val="13006CFC"/>
    <w:rsid w:val="13221E3C"/>
    <w:rsid w:val="139B3B9E"/>
    <w:rsid w:val="14584E93"/>
    <w:rsid w:val="164575C4"/>
    <w:rsid w:val="17CD0455"/>
    <w:rsid w:val="1DD103F2"/>
    <w:rsid w:val="236522EE"/>
    <w:rsid w:val="24B73566"/>
    <w:rsid w:val="2866423E"/>
    <w:rsid w:val="2BAD7FCD"/>
    <w:rsid w:val="2BFA563D"/>
    <w:rsid w:val="2D186761"/>
    <w:rsid w:val="32A118C0"/>
    <w:rsid w:val="330752C3"/>
    <w:rsid w:val="35C019B2"/>
    <w:rsid w:val="39642100"/>
    <w:rsid w:val="400D6E3A"/>
    <w:rsid w:val="402C3DD7"/>
    <w:rsid w:val="40521C95"/>
    <w:rsid w:val="40DE33A0"/>
    <w:rsid w:val="41046EA9"/>
    <w:rsid w:val="419F3CB9"/>
    <w:rsid w:val="43407B62"/>
    <w:rsid w:val="47695884"/>
    <w:rsid w:val="4BBE073F"/>
    <w:rsid w:val="4C3C1C2B"/>
    <w:rsid w:val="55D54F95"/>
    <w:rsid w:val="57AF4FF3"/>
    <w:rsid w:val="588E2CBE"/>
    <w:rsid w:val="58E45CB6"/>
    <w:rsid w:val="59EA7393"/>
    <w:rsid w:val="5ADA271E"/>
    <w:rsid w:val="5B3F07C9"/>
    <w:rsid w:val="5F170EE9"/>
    <w:rsid w:val="664A5F45"/>
    <w:rsid w:val="674D2264"/>
    <w:rsid w:val="6C0A3744"/>
    <w:rsid w:val="6D7F8A66"/>
    <w:rsid w:val="6FFD7D23"/>
    <w:rsid w:val="73382962"/>
    <w:rsid w:val="73B61F92"/>
    <w:rsid w:val="74F9F0B7"/>
    <w:rsid w:val="76A97685"/>
    <w:rsid w:val="76EE2B30"/>
    <w:rsid w:val="78EF58B0"/>
    <w:rsid w:val="7CA31B3E"/>
    <w:rsid w:val="A3EE1BF9"/>
    <w:rsid w:val="F73D7729"/>
    <w:rsid w:val="F7FF8BA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Style w:val="4"/>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uiPriority w:val="0"/>
  </w:style>
  <w:style w:type="character" w:customStyle="1" w:styleId="7">
    <w:name w:val="font01"/>
    <w:basedOn w:val="5"/>
    <w:uiPriority w:val="0"/>
    <w:rPr>
      <w:rFonts w:hint="eastAsia" w:ascii="宋体" w:hAnsi="宋体" w:eastAsia="宋体" w:cs="宋体"/>
      <w:color w:val="000000"/>
      <w:sz w:val="18"/>
      <w:szCs w:val="18"/>
      <w:u w:val="none"/>
    </w:rPr>
  </w:style>
  <w:style w:type="character" w:customStyle="1" w:styleId="8">
    <w:name w:val="font11"/>
    <w:basedOn w:val="5"/>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1215</Words>
  <Characters>6931</Characters>
  <Lines>57</Lines>
  <Paragraphs>16</Paragraphs>
  <TotalTime>4</TotalTime>
  <ScaleCrop>false</ScaleCrop>
  <LinksUpToDate>false</LinksUpToDate>
  <CharactersWithSpaces>8130</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2022-02-09T11:01:00Z</dcterms:created>
  <dc:creator>杨佳晓</dc:creator>
  <cp:lastModifiedBy>huawei</cp:lastModifiedBy>
  <cp:lastPrinted>2023-01-17T21:08:00Z</cp:lastPrinted>
  <dcterms:modified xsi:type="dcterms:W3CDTF">2026-09-15T17:17:14Z</dcterms:modified>
  <dc:title>附件1-1</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90B6BF737229A2A81A0DA96AAC1DA9B1_43</vt:lpwstr>
  </property>
</Properties>
</file>